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1F2A" w:rsidR="00A21F2A" w:rsidP="00A21F2A" w:rsidRDefault="00A21F2A" w14:paraId="0A877E91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Sponsor</w:t>
      </w:r>
    </w:p>
    <w:sdt>
      <w:sdtPr>
        <w:rPr>
          <w:rStyle w:val="PlaceholderStyle"/>
        </w:rPr>
        <w:alias w:val="Sponsor"/>
        <w:tag w:val="PlaceholderSponsor"/>
        <w:id w:val="1807438171"/>
        <w:lock w:val="sdtContentLocked"/>
        <w:placeholder>
          <w:docPart w:val="444324CC13CA4AC6A90232108859EE58"/>
        </w:placeholder>
      </w:sdtPr>
      <w:sdtEndPr>
        <w:rPr>
          <w:rStyle w:val="PlaceholderStyle"/>
        </w:rPr>
      </w:sdtEndPr>
      <w:sdtContent>
        <w:p>
          <w:pPr>
            <w:rPr>
              <w:rFonts w:ascii="Arial" w:hAnsi="Arial" w:eastAsia="MS Mincho" w:cs="Arial"/>
              <w:sz w:val="24"/>
              <w:szCs w:val="24"/>
            </w:rPr>
          </w:pPr>
          <w:r>
            <w:rPr>
              <w:rStyle w:val="PlaceholderStyle"/>
            </w:rPr>
            <w:t>Novartis Pharmaceuticals</w:t>
          </w:r>
        </w:p>
      </w:sdtContent>
    </w:sdt>
    <w:p w:rsidR="00A21F2A" w:rsidP="00A21F2A" w:rsidRDefault="00A21F2A" w14:paraId="60D4F366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Generic Drug Name</w:t>
      </w:r>
    </w:p>
    <w:p w:rsidRPr="001B3EDF" w:rsidR="00D17193" w:rsidP="00D17193" w:rsidRDefault="00D17193" w14:paraId="648A8132" w14:textId="77777777">
      <w:pPr>
        <w:shd w:val="clear" w:color="auto" w:fill="FFFFFF"/>
        <w:spacing w:before="60" w:after="0" w:line="240" w:lineRule="auto"/>
        <w:rPr>
          <w:rFonts w:ascii="Segoe UI" w:hAnsi="Segoe UI" w:eastAsia="Times New Roman" w:cs="Segoe UI"/>
          <w:color w:val="1E1E1E"/>
          <w:sz w:val="24"/>
          <w:szCs w:val="24"/>
        </w:rPr>
      </w:pPr>
      <w:r w:rsidRPr="001B3EDF">
        <w:rPr>
          <w:rFonts w:ascii="Arial" w:hAnsi="Arial" w:eastAsia="Times New Roman" w:cs="Arial"/>
          <w:b/>
          <w:bCs/>
          <w:i/>
          <w:iCs/>
          <w:color w:val="BF30B5"/>
          <w:sz w:val="24"/>
          <w:szCs w:val="24"/>
        </w:rPr>
        <w:t xml:space="preserve">Instruction: </w:t>
      </w:r>
      <w:r w:rsidRPr="001B3EDF">
        <w:rPr>
          <w:rFonts w:ascii="Arial" w:hAnsi="Arial" w:eastAsia="Times New Roman" w:cs="Arial"/>
          <w:i/>
          <w:iCs/>
          <w:color w:val="BF30B5"/>
          <w:sz w:val="24"/>
          <w:szCs w:val="24"/>
        </w:rPr>
        <w:t xml:space="preserve">Do not use trade/commercial names. </w:t>
      </w:r>
    </w:p>
    <w:p w:rsidRPr="001B3EDF" w:rsidR="00D17193" w:rsidP="00D17193" w:rsidRDefault="00D17193" w14:paraId="308B3FA5" w14:textId="77777777">
      <w:pPr>
        <w:shd w:val="clear" w:color="auto" w:fill="FFFFFF"/>
        <w:spacing w:before="60" w:after="0" w:line="240" w:lineRule="auto"/>
        <w:rPr>
          <w:rFonts w:ascii="Segoe UI" w:hAnsi="Segoe UI" w:eastAsia="Times New Roman" w:cs="Segoe UI"/>
          <w:color w:val="1E1E1E"/>
          <w:sz w:val="24"/>
          <w:szCs w:val="24"/>
        </w:rPr>
      </w:pPr>
      <w:r w:rsidRPr="001B3EDF">
        <w:rPr>
          <w:rFonts w:ascii="Arial" w:hAnsi="Arial" w:eastAsia="Times New Roman" w:cs="Arial"/>
          <w:b/>
          <w:bCs/>
          <w:i/>
          <w:iCs/>
          <w:color w:val="BF30B5"/>
          <w:sz w:val="24"/>
          <w:szCs w:val="24"/>
        </w:rPr>
        <w:t>Example:</w:t>
      </w:r>
      <w:r w:rsidRPr="001B3EDF">
        <w:rPr>
          <w:rFonts w:ascii="Arial" w:hAnsi="Arial" w:eastAsia="Times New Roman" w:cs="Arial"/>
          <w:i/>
          <w:iCs/>
          <w:color w:val="BF30B5"/>
          <w:sz w:val="24"/>
          <w:szCs w:val="24"/>
        </w:rPr>
        <w:t xml:space="preserve"> Valsartan</w:t>
      </w:r>
    </w:p>
    <w:p w:rsidRPr="00A21F2A" w:rsidR="00D17193" w:rsidP="00D17193" w:rsidRDefault="00D17193" w14:paraId="691566AB" w14:textId="77777777"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</w:p>
    <w:sdt>
      <w:sdtPr>
        <w:rPr>
          <w:rStyle w:val="PlaceholderStyle"/>
        </w:rPr>
        <w:alias w:val="Generic Drug Name"/>
        <w:tag w:val="PlaceholderGenericDrugName"/>
        <w:id w:val="-1689820315"/>
        <w:lock w:val="sdtContentLocked"/>
        <w:placeholder>
          <w:docPart w:val="DefaultPlaceholder_1081868574"/>
        </w:placeholder>
      </w:sdtPr>
      <w:sdtEndPr>
        <w:rPr>
          <w:rStyle w:val="PlaceholderStyle"/>
        </w:rPr>
      </w:sdtEndPr>
      <w:sdtContent>
        <w:p>
          <w:pPr>
            <w:spacing w:before="120" w:after="120" w:line="240" w:lineRule="auto"/>
            <w:rPr>
              <w:rFonts w:ascii="Arial" w:hAnsi="Arial" w:eastAsia="Times New Roman" w:cs="Arial"/>
              <w:sz w:val="24"/>
              <w:szCs w:val="20"/>
            </w:rPr>
          </w:pPr>
          <w:r>
            <w:rPr>
              <w:rStyle w:val="PlaceholderStyle"/>
            </w:rPr>
            <w:t/>
          </w:r>
        </w:p>
      </w:sdtContent>
    </w:sdt>
    <w:p w:rsidR="00A21F2A" w:rsidP="0007478C" w:rsidRDefault="00A21F2A" w14:paraId="1A75896A" w14:textId="77777777"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Trial Indication(s)</w:t>
      </w:r>
    </w:p>
    <w:p w:rsidR="00D17193" w:rsidP="00D17193" w:rsidRDefault="00D17193" w14:paraId="2A257210" w14:textId="77777777">
      <w:pPr>
        <w:shd w:val="clear" w:color="auto" w:fill="FFFFFF"/>
        <w:spacing w:before="120" w:after="120" w:line="240" w:lineRule="auto"/>
        <w:rPr>
          <w:rFonts w:ascii="Arial" w:hAnsi="Arial" w:eastAsia="Times New Roman" w:cs="Arial"/>
          <w:i/>
          <w:iCs/>
          <w:color w:val="BF30B5"/>
          <w:sz w:val="24"/>
          <w:szCs w:val="24"/>
        </w:rPr>
      </w:pPr>
      <w:r w:rsidRPr="00193C17">
        <w:rPr>
          <w:rFonts w:ascii="Arial" w:hAnsi="Arial" w:eastAsia="Times New Roman" w:cs="Arial"/>
          <w:b/>
          <w:bCs/>
          <w:i/>
          <w:iCs/>
          <w:color w:val="BF30B5"/>
          <w:sz w:val="24"/>
          <w:szCs w:val="24"/>
        </w:rPr>
        <w:t>Instruction:</w:t>
      </w:r>
      <w:r w:rsidRPr="00193C17">
        <w:rPr>
          <w:rFonts w:ascii="Arial" w:hAnsi="Arial" w:eastAsia="Times New Roman" w:cs="Arial"/>
          <w:i/>
          <w:iCs/>
          <w:color w:val="BF30B5"/>
          <w:sz w:val="24"/>
          <w:szCs w:val="24"/>
        </w:rPr>
        <w:t xml:space="preserve"> This information is usually found on the clinical study report (CSR) title page. Please record all indications being studied in this protocol.</w:t>
      </w:r>
    </w:p>
    <w:p w:rsidRPr="00A21F2A" w:rsidR="00D17193" w:rsidP="0007478C" w:rsidRDefault="00D17193" w14:paraId="79959F62" w14:textId="77777777"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</w:p>
    <w:sdt>
      <w:sdtPr>
        <w:rPr>
          <w:rStyle w:val="PlaceholderStyle"/>
        </w:rPr>
        <w:alias w:val="Indications"/>
        <w:tag w:val="PlaceholderIndications"/>
        <w:id w:val="-570045350"/>
        <w:lock w:val="sdtContentLocked"/>
        <w:placeholder>
          <w:docPart w:val="4031CB8AF4D1462E8FEA4FA9263F4532"/>
        </w:placeholder>
      </w:sdtPr>
      <w:sdtEndPr>
        <w:rPr>
          <w:rStyle w:val="PlaceholderStyle"/>
        </w:rPr>
      </w:sdtEndPr>
      <w:sdtContent>
        <w:p>
          <w:pPr>
            <w:spacing w:before="60" w:after="0" w:line="240" w:lineRule="auto"/>
            <w:rPr>
              <w:rFonts w:ascii="Arial" w:hAnsi="Arial" w:eastAsia="Times New Roman" w:cs="Arial"/>
              <w:i/>
              <w:color w:val="BF30B5"/>
              <w:sz w:val="24"/>
              <w:szCs w:val="24"/>
            </w:rPr>
          </w:pPr>
          <w:r>
            <w:rPr>
              <w:rStyle w:val="PlaceholderStyle"/>
            </w:rPr>
            <w:t/>
          </w:r>
        </w:p>
      </w:sdtContent>
    </w:sdt>
    <w:p w:rsidRPr="00A21F2A" w:rsidR="00A21F2A" w:rsidP="00A21F2A" w:rsidRDefault="00A21F2A" w14:paraId="1D81610D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Protocol Number</w:t>
      </w:r>
    </w:p>
    <w:sdt>
      <w:sdtPr>
        <w:rPr>
          <w:rStyle w:val="PlaceholderStyle"/>
        </w:rPr>
        <w:alias w:val="Protocol Number"/>
        <w:tag w:val="PlaceholderProtocolNum"/>
        <w:id w:val="-1693214136"/>
        <w:lock w:val="sdtContentLocked"/>
        <w:placeholder>
          <w:docPart w:val="EB9F024023E2493BB6B2130A137ED9BC"/>
        </w:placeholder>
      </w:sdtPr>
      <w:sdtEndPr>
        <w:rPr>
          <w:rStyle w:val="PlaceholderStyle"/>
        </w:rPr>
      </w:sdtEndPr>
      <w:sdtContent>
        <w:p>
          <w:pPr>
            <w:rPr>
              <w:rFonts w:ascii="Arial" w:hAnsi="Arial" w:eastAsia="Times New Roman" w:cs="Arial"/>
              <w:color w:val="BF30B5"/>
              <w:sz w:val="24"/>
              <w:szCs w:val="24"/>
            </w:rPr>
          </w:pPr>
          <w:r>
            <w:rPr>
              <w:rStyle w:val="PlaceholderStyle"/>
            </w:rPr>
            <w:t>CAIN457ADE11C</w:t>
          </w:r>
        </w:p>
      </w:sdtContent>
    </w:sdt>
    <w:p w:rsidRPr="00A21F2A" w:rsidR="00A21F2A" w:rsidP="00A21F2A" w:rsidRDefault="00A21F2A" w14:paraId="2D5C0940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Protocol Title</w:t>
      </w:r>
    </w:p>
    <w:sdt>
      <w:sdtPr>
        <w:rPr>
          <w:rStyle w:val="PlaceholderStyle"/>
        </w:rPr>
        <w:alias w:val="Protocol Title"/>
        <w:tag w:val="PlaceholderProtTitle"/>
        <w:id w:val="-74212482"/>
        <w:lock w:val="sdtContentLocked"/>
        <w:placeholder>
          <w:docPart w:val="A5A4ADBB37524AE09B1E461E04C17E27"/>
        </w:placeholder>
      </w:sdtPr>
      <w:sdtEndPr>
        <w:rPr>
          <w:rStyle w:val="PlaceholderStyle"/>
        </w:rPr>
      </w:sdtEndPr>
      <w:sdtContent>
        <w:p>
          <w:pPr>
            <w:rPr>
              <w:rFonts w:ascii="Arial" w:hAnsi="Arial" w:eastAsia="Times New Roman" w:cs="Arial"/>
              <w:sz w:val="24"/>
              <w:szCs w:val="20"/>
            </w:rPr>
          </w:pPr>
          <w:r>
            <w:rPr>
              <w:rStyle w:val="PlaceholderStyle"/>
            </w:rPr>
            <w:t>A randomized, parallel-group, double-blind, placebo-controlled, multicenter phase 2 trial to investigate the safety and efficacy of secukinumab (AIN457) in patients with giant cell arteritis (TitAIN)</w:t>
          </w:r>
        </w:p>
      </w:sdtContent>
    </w:sdt>
    <w:p w:rsidRPr="00A21F2A" w:rsidR="00A21F2A" w:rsidP="00A21F2A" w:rsidRDefault="00A21F2A" w14:paraId="08DD9BF8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Clinical Trial Phase</w:t>
      </w:r>
    </w:p>
    <w:sdt>
      <w:sdtPr>
        <w:rPr>
          <w:rStyle w:val="PlaceholderStyle"/>
        </w:rPr>
        <w:alias w:val="Clinical Trial Phase"/>
        <w:tag w:val="PlaceholderClinicalTrialPhase"/>
        <w:id w:val="-2020159352"/>
        <w:lock w:val="sdtContentLocked"/>
        <w:placeholder>
          <w:docPart w:val="E0307B96D51F42AE95AB445BCB7862D9"/>
        </w:placeholder>
      </w:sdtPr>
      <w:sdtEndPr>
        <w:rPr>
          <w:rStyle w:val="PlaceholderStyle"/>
        </w:rPr>
      </w:sdtEndPr>
      <w:sdtContent>
        <w:p>
          <w:pPr>
            <w:spacing w:before="120" w:after="120" w:line="240" w:lineRule="auto"/>
            <w:ind w:left="1699" w:hanging="1699"/>
            <w:rPr>
              <w:rFonts w:ascii="Arial" w:hAnsi="Arial" w:eastAsia="Times New Roman" w:cs="Arial"/>
              <w:sz w:val="24"/>
              <w:szCs w:val="20"/>
            </w:rPr>
          </w:pPr>
          <w:r>
            <w:rPr>
              <w:rStyle w:val="PlaceholderStyle"/>
            </w:rPr>
            <w:t>Phase 2</w:t>
          </w:r>
        </w:p>
      </w:sdtContent>
    </w:sdt>
    <w:p w:rsidRPr="00A21F2A" w:rsidR="00A21F2A" w:rsidP="00A21F2A" w:rsidRDefault="00A21F2A" w14:paraId="1A226736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Phase of Drug Development</w:t>
      </w:r>
    </w:p>
    <w:p w:rsidRPr="00A21F2A" w:rsidR="00A21F2A" w:rsidP="00A21F2A" w:rsidRDefault="00A21F2A" w14:paraId="34DE532B" w14:textId="77777777">
      <w:pPr>
        <w:spacing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Instruction: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Stage of the drug in development.  This is not the trial phase.  For </w:t>
      </w:r>
      <w:proofErr w:type="gramStart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>example</w:t>
      </w:r>
      <w:proofErr w:type="gramEnd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a Phase I drug-drug interaction trial can be conducted during Phase 3 drug development.</w:t>
      </w:r>
    </w:p>
    <w:p w:rsidR="00A21F2A" w:rsidP="00A21F2A" w:rsidRDefault="00A21F2A" w14:paraId="50295636" w14:textId="77777777">
      <w:pPr>
        <w:spacing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>Example:  Phase I, II, III, IV</w:t>
      </w:r>
    </w:p>
    <w:p w:rsidRPr="00A21F2A" w:rsidR="00B822C8" w:rsidP="00A21F2A" w:rsidRDefault="00B822C8" w14:paraId="5CDD3B4B" w14:textId="77777777">
      <w:pPr>
        <w:spacing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</w:p>
    <w:p w:rsidRPr="00A21F2A" w:rsidR="00A3693F" w:rsidP="00A3693F" w:rsidRDefault="00A21F2A" w14:paraId="2E3898BE" w14:textId="77777777">
      <w:pPr>
        <w:spacing w:before="120" w:after="120" w:line="240" w:lineRule="auto"/>
        <w:ind w:left="1699" w:hanging="1699"/>
        <w:rPr>
          <w:rFonts w:ascii="Arial" w:hAnsi="Arial" w:eastAsia="MS Mincho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 xml:space="preserve">Study Start/End Dates </w:t>
      </w:r>
      <w:r w:rsidRPr="00A21F2A">
        <w:rPr>
          <w:rFonts w:ascii="Arial" w:hAnsi="Arial" w:eastAsia="MS Mincho" w:cs="Arial"/>
          <w:b/>
          <w:sz w:val="24"/>
          <w:szCs w:val="20"/>
          <w:u w:val="single"/>
        </w:rPr>
        <w:t xml:space="preserve"> </w:t>
      </w:r>
    </w:p>
    <w:p w:rsidR="00A3693F" w:rsidP="00A21F2A" w:rsidRDefault="000A3425" w14:paraId="4C488B76" w14:textId="77777777">
      <w:pPr>
        <w:spacing w:after="0" w:line="240" w:lineRule="auto"/>
      </w:pPr>
      <w:sdt>
        <w:sdtPr>
          <w:rPr>
            <w:rStyle w:val="PlaceholderStyle"/>
          </w:rPr>
          <w:alias w:val="Study Start Date"/>
          <w:tag w:val="PlaceholderStudyStartDate"/>
          <w:id w:val="-2110494163"/>
          <w:lock w:val="sdtContentLocked"/>
          <w:placeholder>
            <w:docPart w:val="0B5B8BC5E6CA4394B910A170B08F3C1B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Fonts w:ascii="Arial" w:hAnsi="Arial" w:cs="Arial"/>
            </w:rPr>
            <w:t>Study Start Date: January 2019 (Actual)</w:t>
          </w:r>
        </w:sdtContent>
      </w:sdt>
    </w:p>
    <w:p w:rsidR="00C17E04" w:rsidP="00C17E04" w:rsidRDefault="000A3425" w14:paraId="161B10ED" w14:textId="77777777">
      <w:pPr>
        <w:spacing w:after="0" w:line="240" w:lineRule="auto"/>
      </w:pPr>
      <w:sdt>
        <w:sdtPr>
          <w:rPr>
            <w:rStyle w:val="PlaceholderStyle"/>
          </w:rPr>
          <w:alias w:val="Primary Completion Date"/>
          <w:tag w:val="PlaceholderPrimaryCompletionDate"/>
          <w:id w:val="128911581"/>
          <w:lock w:val="sdtContentLocked"/>
          <w:placeholder>
            <w:docPart w:val="C4AEB1D36E6E41499F923E0D2F57B383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Fonts w:ascii="Arial" w:hAnsi="Arial" w:cs="Arial"/>
            </w:rPr>
            <w:t>Primary Completion Date: June 2021 (Actual)</w:t>
          </w:r>
        </w:sdtContent>
      </w:sdt>
    </w:p>
    <w:p w:rsidR="00E5128C" w:rsidP="00C17E04" w:rsidRDefault="000A3425" w14:paraId="27650C85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  <w:sdt>
        <w:sdtPr>
          <w:rPr>
            <w:rStyle w:val="PlaceholderStyle"/>
          </w:rPr>
          <w:alias w:val="Study End Date"/>
          <w:tag w:val="PlaceholderStudyEndDate"/>
          <w:id w:val="103391408"/>
          <w:lock w:val="sdtContentLocked"/>
          <w:placeholder>
            <w:docPart w:val="613920DBD3E040A1842682D9B2229109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Fonts w:ascii="Arial" w:hAnsi="Arial" w:cs="Arial"/>
            </w:rPr>
            <w:t>Study Completion Date: June 2021 (Actual)</w:t>
          </w:r>
        </w:sdtContent>
      </w:sdt>
    </w:p>
    <w:p w:rsidRPr="00A21F2A" w:rsidR="00A21F2A" w:rsidP="00A21F2A" w:rsidRDefault="00A21F2A" w14:paraId="6A9E1B89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Reason for Termination (If applicable)</w:t>
      </w:r>
    </w:p>
    <w:sdt>
      <w:sdtPr>
        <w:rPr>
          <w:rStyle w:val="PlaceholderStyle"/>
        </w:rPr>
        <w:alias w:val="Reason for Termination"/>
        <w:tag w:val="PlaceholderWhyStopped"/>
        <w:id w:val="247402810"/>
        <w:placeholder>
          <w:docPart w:val="1645779D84C94087A3AB59F48F58D322"/>
        </w:placeholder>
        <w:temporary/>
      </w:sdtPr>
      <w:sdtEndPr>
        <w:rPr>
          <w:rStyle w:val="PlaceholderStyle"/>
        </w:rPr>
      </w:sdtEndPr>
      <w:sdtContent>
        <w:p>
          <w:pPr>
            <w:spacing w:before="120" w:after="0" w:line="240" w:lineRule="auto"/>
            <w:rPr>
              <w:rFonts w:ascii="Arial" w:hAnsi="Arial" w:eastAsia="MS Mincho" w:cs="Arial"/>
              <w:sz w:val="24"/>
              <w:szCs w:val="20"/>
            </w:rPr>
          </w:pPr>
          <w:r>
            <w:rPr>
              <w:rStyle w:val="PlaceholderStyle"/>
            </w:rPr>
            <w:t/>
          </w:r>
        </w:p>
      </w:sdtContent>
    </w:sdt>
    <w:p w:rsidR="00C9657C" w:rsidP="00394DFD" w:rsidRDefault="00C9657C" w14:paraId="04E6E6DC" w14:textId="77777777"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</w:p>
    <w:p w:rsidRPr="00A21F2A" w:rsidR="00A21F2A" w:rsidP="00A21F2A" w:rsidRDefault="00A21F2A" w14:paraId="29332911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Study Design/Methodology</w:t>
      </w:r>
    </w:p>
    <w:p w:rsidRPr="00A21F2A" w:rsidR="00A21F2A" w:rsidP="00A21F2A" w:rsidRDefault="00A21F2A" w14:paraId="2ABB2BEC" w14:textId="77777777">
      <w:pPr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Instruction: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This information is found in the 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  <w:u w:val="single"/>
        </w:rPr>
        <w:t>CSR synopsis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and should, at a minimum, contain the type of study conducted with a description of the treatment periods. Adjust verb tense to past </w:t>
      </w:r>
    </w:p>
    <w:p w:rsidRPr="00A21F2A" w:rsidR="00A21F2A" w:rsidP="00A21F2A" w:rsidRDefault="00A21F2A" w14:paraId="6990BFCB" w14:textId="77777777">
      <w:pPr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>tense as necessary.</w:t>
      </w:r>
    </w:p>
    <w:p w:rsidRPr="00A21F2A" w:rsidR="00A21F2A" w:rsidP="00A21F2A" w:rsidRDefault="00A21F2A" w14:paraId="711ABE63" w14:textId="77777777">
      <w:pPr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Definition: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Specific information about how the trial was conducted</w:t>
      </w:r>
    </w:p>
    <w:p w:rsidR="00A21F2A" w:rsidP="0007478C" w:rsidRDefault="00A21F2A" w14:paraId="2A06CE88" w14:textId="77777777">
      <w:pPr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Example: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>Multicenter, multinational, randomized, double-</w:t>
      </w:r>
      <w:r w:rsidR="00CB42B4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>blind, parallel-group, efficacy</w:t>
      </w:r>
    </w:p>
    <w:p w:rsidRPr="0007478C" w:rsidR="00B822C8" w:rsidP="0007478C" w:rsidRDefault="00B822C8" w14:paraId="622E06E7" w14:textId="77777777">
      <w:pPr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</w:p>
    <w:p w:rsidRPr="00A21F2A" w:rsidR="00A21F2A" w:rsidP="00A21F2A" w:rsidRDefault="00A21F2A" w14:paraId="1ACBC168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Centers</w:t>
      </w:r>
    </w:p>
    <w:sdt>
      <w:sdtPr>
        <w:rPr>
          <w:rStyle w:val="PlaceholderStyle"/>
        </w:rPr>
        <w:alias w:val="Centers"/>
        <w:tag w:val="PlaceholderCenters"/>
        <w:id w:val="492302757"/>
        <w:lock w:val="sdtContentLocked"/>
        <w:placeholder>
          <w:docPart w:val="2BF08BA23B92421DBC6AF67ED1E378FE"/>
        </w:placeholder>
      </w:sdtPr>
      <w:sdtEndPr>
        <w:rPr>
          <w:rStyle w:val="PlaceholderStyle"/>
        </w:rPr>
      </w:sdtEndPr>
      <w:sdtContent>
        <w:p>
          <w:pPr>
            <w:rPr>
              <w:rFonts w:ascii="Arial" w:hAnsi="Arial" w:eastAsia="MS Mincho" w:cs="Arial"/>
              <w:i/>
              <w:color w:val="BF30B5"/>
              <w:sz w:val="24"/>
              <w:szCs w:val="24"/>
            </w:rPr>
          </w:pPr>
          <w:r>
            <w:rPr>
              <w:rStyle w:val="PlaceholderStyle"/>
            </w:rPr>
            <w:t>Germany(11)</w:t>
          </w:r>
        </w:p>
      </w:sdtContent>
    </w:sdt>
    <w:p w:rsidRPr="00394DFD" w:rsidR="00C9657C" w:rsidP="00394DFD" w:rsidRDefault="00C9657C" w14:paraId="22568DDA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</w:rPr>
      </w:pPr>
    </w:p>
    <w:p w:rsidRPr="00A21F2A" w:rsidR="00A21F2A" w:rsidP="00A21F2A" w:rsidRDefault="00A21F2A" w14:paraId="6D8CA335" w14:textId="77777777">
      <w:pPr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Objectives:</w:t>
      </w:r>
    </w:p>
    <w:p w:rsidRPr="00A21F2A" w:rsidR="00A21F2A" w:rsidP="00A21F2A" w:rsidRDefault="00A21F2A" w14:paraId="475E1F3D" w14:textId="77777777">
      <w:pPr>
        <w:keepLines/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 xml:space="preserve">Instruction:  </w:t>
      </w:r>
      <w:r w:rsidRPr="00A21F2A">
        <w:rPr>
          <w:rFonts w:ascii="Arial" w:hAnsi="Arial" w:eastAsia="MS Mincho" w:cs="Arial"/>
          <w:bCs/>
          <w:i/>
          <w:color w:val="BF30B5"/>
          <w:sz w:val="24"/>
          <w:szCs w:val="24"/>
        </w:rPr>
        <w:t xml:space="preserve">This information can be found in the CSR Synopsis.  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Objectives should align with the Outcome Measures.  </w:t>
      </w:r>
    </w:p>
    <w:p w:rsidRPr="00A21F2A" w:rsidR="00A21F2A" w:rsidP="00B822C8" w:rsidRDefault="00A21F2A" w14:paraId="00E15216" w14:textId="77777777">
      <w:pPr>
        <w:keepLines/>
        <w:spacing w:before="60" w:after="0" w:line="240" w:lineRule="auto"/>
        <w:rPr>
          <w:rFonts w:ascii="Arial" w:hAnsi="Arial" w:eastAsia="MS Mincho" w:cs="Arial"/>
          <w:b/>
          <w:bCs/>
          <w:i/>
          <w:color w:val="BF30B5"/>
          <w:sz w:val="24"/>
          <w:szCs w:val="24"/>
          <w:highlight w:val="yellow"/>
        </w:rPr>
      </w:pPr>
    </w:p>
    <w:p w:rsidRPr="00A21F2A" w:rsidR="00A21F2A" w:rsidP="00A21F2A" w:rsidRDefault="00A21F2A" w14:paraId="5F16D12F" w14:textId="77777777">
      <w:pPr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Test Product (s), Dose(s), and Mode(s) of Administration</w:t>
      </w:r>
    </w:p>
    <w:p w:rsidRPr="00A21F2A" w:rsidR="00A21F2A" w:rsidP="00A21F2A" w:rsidRDefault="00A21F2A" w14:paraId="0963E4F3" w14:textId="77777777">
      <w:pPr>
        <w:keepLines/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Instruction: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This information can be found in the 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  <w:u w:val="single"/>
        </w:rPr>
        <w:t>CSR synopsis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>.</w:t>
      </w:r>
    </w:p>
    <w:p w:rsidRPr="00A21F2A" w:rsidR="00A21F2A" w:rsidP="00A21F2A" w:rsidRDefault="00A21F2A" w14:paraId="5852FA4B" w14:textId="77777777">
      <w:pPr>
        <w:keepLines/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lastRenderedPageBreak/>
        <w:t>Definition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>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Name, dose, and route of administration of study drug. Do not include preparation instructions of product.</w:t>
      </w:r>
    </w:p>
    <w:p w:rsidR="00A21F2A" w:rsidP="00A21F2A" w:rsidRDefault="00A21F2A" w14:paraId="0258FC0C" w14:textId="77777777">
      <w:pPr>
        <w:keepLines/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Example: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Oral tablets of </w:t>
      </w:r>
      <w:proofErr w:type="spellStart"/>
      <w:r w:rsidR="00CB42B4">
        <w:rPr>
          <w:rFonts w:ascii="Arial" w:hAnsi="Arial" w:eastAsia="Times New Roman" w:cs="Arial"/>
          <w:i/>
          <w:color w:val="BF30B5"/>
          <w:sz w:val="24"/>
          <w:szCs w:val="24"/>
        </w:rPr>
        <w:t>xyz</w:t>
      </w:r>
      <w:proofErr w:type="spellEnd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</w:t>
      </w:r>
      <w:r w:rsidR="00CB42B4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>160 mg</w:t>
      </w:r>
    </w:p>
    <w:p w:rsidRPr="00A21F2A" w:rsidR="00B822C8" w:rsidP="00A21F2A" w:rsidRDefault="00B822C8" w14:paraId="2ACA01F2" w14:textId="77777777">
      <w:pPr>
        <w:keepLines/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</w:p>
    <w:p w:rsidRPr="00A21F2A" w:rsidR="00A21F2A" w:rsidP="0007478C" w:rsidRDefault="00A21F2A" w14:paraId="22B9737D" w14:textId="77777777">
      <w:pPr>
        <w:keepLines/>
        <w:spacing w:before="120" w:after="120" w:line="240" w:lineRule="auto"/>
        <w:rPr>
          <w:rFonts w:ascii="Arial" w:hAnsi="Arial" w:eastAsia="Times New Roman" w:cs="Arial"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Statistical Methods</w:t>
      </w:r>
      <w:r w:rsidRPr="00A21F2A">
        <w:rPr>
          <w:rFonts w:ascii="Arial" w:hAnsi="Arial" w:eastAsia="Times New Roman" w:cs="Arial"/>
          <w:sz w:val="24"/>
          <w:szCs w:val="20"/>
          <w:u w:val="single"/>
        </w:rPr>
        <w:t xml:space="preserve"> </w:t>
      </w:r>
    </w:p>
    <w:p w:rsidRPr="00A21F2A" w:rsidR="00A21F2A" w:rsidP="00A21F2A" w:rsidRDefault="00A21F2A" w14:paraId="3F905355" w14:textId="77777777">
      <w:pPr>
        <w:keepLines/>
        <w:spacing w:before="120" w:after="120" w:line="240" w:lineRule="auto"/>
        <w:rPr>
          <w:rFonts w:ascii="Arial" w:hAnsi="Arial" w:eastAsia="Times New Roman" w:cs="Arial"/>
          <w:bCs/>
          <w:i/>
          <w:color w:val="BF30B5"/>
          <w:sz w:val="24"/>
          <w:szCs w:val="24"/>
        </w:rPr>
      </w:pPr>
      <w:proofErr w:type="gramStart"/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Instruction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 xml:space="preserve"> :</w:t>
      </w:r>
      <w:proofErr w:type="gramEnd"/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 xml:space="preserve"> Do not include the statistical methodology applied to exploratory outcome measures. </w:t>
      </w:r>
    </w:p>
    <w:p w:rsidRPr="00A21F2A" w:rsidR="00A21F2A" w:rsidP="00A21F2A" w:rsidRDefault="00A21F2A" w14:paraId="1ED9C450" w14:textId="77777777">
      <w:pPr>
        <w:keepLines/>
        <w:spacing w:before="120" w:after="120" w:line="240" w:lineRule="auto"/>
        <w:rPr>
          <w:rFonts w:ascii="Arial" w:hAnsi="Arial" w:eastAsia="Times New Roman" w:cs="Arial"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Definition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 xml:space="preserve">:  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Statistical methodology applied to the data. 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 xml:space="preserve">This section should be copied directly from the statistical methods section of the 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  <w:u w:val="single"/>
        </w:rPr>
        <w:t>CSR Synopsis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</w:rPr>
        <w:t>. If the stats methodology does not align with the primary and secondary outcome measures (results) than edit the statistical methodology section to ensure alignment with the primary and secondary results.</w:t>
      </w:r>
    </w:p>
    <w:p w:rsidR="00A21F2A" w:rsidP="00A21F2A" w:rsidRDefault="00A21F2A" w14:paraId="234D0223" w14:textId="77777777">
      <w:pPr>
        <w:keepLines/>
        <w:spacing w:before="12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Example: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Unless otherwise specified, all statistical tests were conducted against a 2-sided alternative hypothesis, employing a significance level of 0.05</w:t>
      </w:r>
      <w:r w:rsidR="00CB42B4">
        <w:rPr>
          <w:rFonts w:ascii="Arial" w:hAnsi="Arial" w:eastAsia="Times New Roman" w:cs="Arial"/>
          <w:i/>
          <w:color w:val="BF30B5"/>
          <w:sz w:val="24"/>
          <w:szCs w:val="24"/>
        </w:rPr>
        <w:t>.</w:t>
      </w:r>
    </w:p>
    <w:p w:rsidRPr="00A21F2A" w:rsidR="00B822C8" w:rsidP="00A21F2A" w:rsidRDefault="00B822C8" w14:paraId="5C57C0B8" w14:textId="77777777">
      <w:pPr>
        <w:keepLines/>
        <w:spacing w:before="12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</w:p>
    <w:p w:rsidRPr="00A21F2A" w:rsidR="00A21F2A" w:rsidP="00A21F2A" w:rsidRDefault="00A21F2A" w14:paraId="2D89420A" w14:textId="77777777">
      <w:pPr>
        <w:keepLines/>
        <w:spacing w:before="60" w:after="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</w:p>
    <w:p w:rsidRPr="00CB6D33" w:rsidR="00A21F2A" w:rsidP="00A21F2A" w:rsidRDefault="00A21F2A" w14:paraId="05B74264" w14:textId="77777777">
      <w:pPr>
        <w:spacing w:after="0" w:line="240" w:lineRule="auto"/>
        <w:rPr>
          <w:rFonts w:ascii="Arial" w:hAnsi="Arial" w:eastAsia="MS Mincho" w:cs="Arial"/>
          <w:b/>
          <w:sz w:val="24"/>
          <w:szCs w:val="20"/>
        </w:rPr>
      </w:pPr>
      <w:r w:rsidRPr="00A21F2A">
        <w:rPr>
          <w:rFonts w:ascii="Arial" w:hAnsi="Arial" w:eastAsia="MS Mincho" w:cs="Arial"/>
          <w:b/>
          <w:sz w:val="24"/>
          <w:szCs w:val="20"/>
          <w:u w:val="single"/>
        </w:rPr>
        <w:t xml:space="preserve">Study Population: Key Inclusion/Exclusion Criteria </w:t>
      </w:r>
    </w:p>
    <w:p w:rsidRPr="00A21F2A" w:rsidR="00A21F2A" w:rsidP="00A21F2A" w:rsidRDefault="000A3425" w14:paraId="627AB81D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  <w:sdt>
        <w:sdtPr>
          <w:rPr>
            <w:rStyle w:val="PlaceholderStyle"/>
          </w:rPr>
          <w:alias w:val="Key Inclusion/Exclusion Criteria"/>
          <w:tag w:val="PlaceholderKeyInclusionExclusionCriteria"/>
          <w:id w:val="-699005194"/>
          <w:lock w:val="sdtContentLocked"/>
          <w:placeholder>
            <w:docPart w:val="182AC283FB7242D982FEBC37F5905E2B"/>
          </w:placeholder>
        </w:sdtPr>
        <w:sdtEndPr>
          <w:rPr>
            <w:rStyle w:val="DefaultParagraphFont"/>
            <w:rFonts w:eastAsia="Times New Roman" w:cs="Arial" w:asciiTheme="minorHAnsi" w:hAnsiTheme="minorHAnsi"/>
            <w:b/>
            <w:sz w:val="22"/>
            <w:szCs w:val="20"/>
          </w:rPr>
        </w:sdtEndPr>
        <w:sdtContent>
          <w:r>
            <w:rPr>
              <w:rFonts w:ascii="Arial" w:hAnsi="Arial" w:cs="Arial"/>
            </w:rPr>
            <w:t>Inclusion Criteria: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 Diagnosis of GCA classified according to the following criteria:
</w:t>
            <w:br/>
          </w:r>
          <w:r>
            <w:rPr>
              <w:rFonts w:ascii="Arial" w:hAnsi="Arial" w:cs="Arial"/>
            </w:rPr>
            <w:t>  •Age at onset of disease ≥ 50 years.
</w:t>
            <w:br/>
          </w:r>
          <w:r>
            <w:rPr>
              <w:rFonts w:ascii="Arial" w:hAnsi="Arial" w:cs="Arial"/>
            </w:rPr>
            <w:t>  •History of ESR ≥ 30 mm/hr or CRP ≥ 10 mg/L.
</w:t>
            <w:br/>
          </w:r>
          <w:r>
            <w:rPr>
              <w:rFonts w:ascii="Arial" w:hAnsi="Arial" w:cs="Arial"/>
            </w:rPr>
            <w:t>  •Unequivocal cranial symptoms of GCA (new-onset localized headache, scalp or temporal artery tenderness, ischemia-related vision loss, or otherwise unexplained mouth or jaw pain upon mastication)
</w:t>
            <w:br/>
          </w:r>
          <w:r>
            <w:rPr>
              <w:rFonts w:ascii="Arial" w:hAnsi="Arial" w:cs="Arial"/>
            </w:rPr>
            <w:t>AND/OR
</w:t>
            <w:br/>
          </w:r>
          <w:r>
            <w:rPr>
              <w:rFonts w:ascii="Arial" w:hAnsi="Arial" w:cs="Arial"/>
            </w:rPr>
            <w:t>symptoms of polymyalgia rheumatica (PMR) defined as shoulder and/or hip girdle pain associated with inflammatory morning stiffness
</w:t>
            <w:br/>
          </w:r>
          <w:r>
            <w:rPr>
              <w:rFonts w:ascii="Arial" w:hAnsi="Arial" w:cs="Arial"/>
            </w:rPr>
            <w:t>  •Temporal artery biopsy revealing features of GCA 
</w:t>
            <w:br/>
          </w:r>
          <w:r>
            <w:rPr>
              <w:rFonts w:ascii="Arial" w:hAnsi="Arial" w:cs="Arial"/>
            </w:rPr>
            <w:t>AND/OR 
</w:t>
            <w:br/>
          </w:r>
          <w:r>
            <w:rPr>
              <w:rFonts w:ascii="Arial" w:hAnsi="Arial" w:cs="Arial"/>
            </w:rPr>
            <w:t>  •evidence of large-vessel vasculitis by angiography or cross-sectional imaging study such as magnetic resonance angiography (MRA), computed tomography angiography (CTA), positron emission tomography-computed tomography (PET CT), or ultrasound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 Patients with new onset GCA or relapsing GCA
</w:t>
            <w:br/>
          </w:r>
          <w:r>
            <w:rPr>
              <w:rFonts w:ascii="Arial" w:hAnsi="Arial" w:cs="Arial"/>
            </w:rPr>
            <w:t>(Definition new onset: diagnosis of GCA within 6 weeks of Baseline Visit; Definition relapsing GCA: diagnosis of GCA (in accordance with inclusion criterion no. 4) &gt; 6 weeks before Baseline Visit and in the meantime achieved remission (absence of signs and symptoms attributable to GCA and normalization of ESR (&lt; 30 mm/hr) and CRP (&lt;10.0mg/L) included) including previous treatment with ≥ 25 mg/day prednisolone equivalent for ≥ 2 weeks.)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 Active disease as defined by the presence of signs and symptoms of GCA (cranial or PMR) and elevated ESR ≥ 30 mm/hr, or CRP ≥ 10 mg/L, attributed to active GCA within 6 weeks of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Prednisolone dose of 25-60 mg/day at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Exclusion Criteria: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Previous exposure to secukinumab or other biologic drug directly targeting Interleukin(IL)-17 or IL-17 receptor.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any cell-depleting therapies including but not limited to anti-CD20 or investigational agents (e.g. anti-CD3, anti-CD4, anti-CD5 or anti-CD19).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who have previously been treated with any biologic agent including but not limited to tocilizumab, sirukumab, abatacept, or tumor necrosis factor alpha (TNFα) inhibitors (infliximab, adalimumab, etanercept, certolizumab, golimumab).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who have previously been treated with tofacitinib or baricitinib.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i.v. immunoglobulins or plasmapheresis within 8 weeks prior to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cyclophosphamide, tacrolimus or everolimus within 6 months prior to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hydroxychloroquine, cyclosporine A, azathioprine, sulfasalazine or mycophenolate mofetil within 4 weeks of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leflunomide within 8 weeks of Baseline unless a cholestyramine washout has been performed in which case the patient must be treated within 4 weeks of Baseline.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treated with an alkylating agent except for cyclophosphamide as mentioned above.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requiring systemic chronic glucocorticoid therapy for any other reason than GCA.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Chronic systemic glucocorticoid therapy over the last 4 years or longer; or inability, in the opinion of the investigator, to withdraw glucocorticoid therapy through protocol-defined taper regimen due to suspected or established adrenal insufficiency.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Patients requiring chronic (i.e. not occasional “prn”) high potency opioid analgesics for pain management.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Active ongoing inflammatory diseases or underlying metabolic, hematologic, renal, hepatic, pulmonary, neurologic, endocrine, cardiac, infectious or gastrointestinal conditions, which in the opinion of the investigator immunosuppressed the patient and/or places the patient at unacceptable risk for participation in an immunomodulatory therapy.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History of renal trauma, glomerulonephritis, or patients with one kidney only, or a serum creatinine level exceeding 1.8 mg/dL (159.12 μmol/L). 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Screening total white blood cell (WBC) count &lt; 3000/μL, or platelets &lt; 100 000/μL or neutrophils &lt; 1500/μL or hemoglobin &lt; 8.3 g/dL (83 g/L).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Major ischemic event, unrelated to GCA, within 12 weeks of screening.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Known infection with human immunodeficiency virus (HIV), hepatitis B or hepatitis C at screening or randomization.
</w:t>
            <w:br/>
          </w:r>
          <w:r>
            <w:rPr>
              <w:rFonts w:ascii="Arial" w:hAnsi="Arial" w:cs="Arial"/>
            </w:rPr>
            <w:t>
</w:t>
            <w:br/>
          </w:r>
          <w:r>
            <w:rPr>
              <w:rFonts w:ascii="Arial" w:hAnsi="Arial" w:cs="Arial"/>
            </w:rPr>
            <w:t>Life vaccinations within 6 weeks prior to Baseline or planned vaccination during study participation until 12 weeks after last study treatment administration.</w:t>
            <w:br/>
          </w:r>
        </w:sdtContent>
      </w:sdt>
    </w:p>
    <w:p w:rsidRPr="0007478C" w:rsidR="000C520D" w:rsidP="0007478C" w:rsidRDefault="00A21F2A" w14:paraId="18F61CCF" w14:textId="77777777">
      <w:pPr>
        <w:keepNext/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Participant Flow Table</w:t>
      </w:r>
    </w:p>
    <w:sdt>
      <w:sdtPr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alias w:val="Participant Flow Table"/>
        <w:tag w:val="PlaceholderParticipantFlow"/>
        <w:id w:val="-600644870"/>
        <w:lock w:val="sdtContentLocked"/>
        <w:placeholder>
          <w:docPart w:val="89A5832A7C4F48A98BA7650FA417DD0F"/>
        </w:placeholder>
        <w:showingPlcHdr/>
      </w:sdtPr>
      <w:sdtEndPr/>
      <w:sdtContent>
        <w:p>
          <w:r>
            <w:tbl xmlns:w="http://schemas.openxmlformats.org/wordprocessingml/2006/main">
              <w:tr>
                <w:tc>
                  <w:tcPr>
                    <w:vAlign w:val="center"/>
                    <w:tcW w:w="1380" w:type="dxa"/>
                    <w:gridSpan w:val="3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22"/>
                        <w:sz w:val="22"/>
                      </w:rPr>
                      <w:t>Overall Study</w:t>
                    </w:r>
                  </w:p>
                </w:tc>
              </w:tr>
              <w:tr>
                <w:tc>
                  <w:p/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                Total
                                    </w:t>
                    </w:r>
                  </w:p>
                </w:tc>
              </w:tr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                Arm/Group Description
              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/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                Started
              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52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                Completed
              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39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                Not Completed
              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13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Subject decision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5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Physician Decision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6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Death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Lost to Follow-up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</w:r>
        </w:p>
      </w:sdtContent>
    </w:sdt>
    <w:p w:rsidRPr="00A6540E" w:rsidR="00A21F2A" w:rsidP="00A6540E" w:rsidRDefault="00A21F2A" w14:paraId="29F5535B" w14:textId="77777777">
      <w:pPr>
        <w:keepNext/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 xml:space="preserve">Baseline Characteristics </w:t>
      </w:r>
    </w:p>
    <w:sdt>
      <w:sdtPr>
        <w:rPr>
          <w:rFonts w:ascii="Arial" w:hAnsi="Arial" w:eastAsia="MS Mincho" w:cs="Arial"/>
          <w:i/>
          <w:color w:val="BF30B5"/>
          <w:sz w:val="24"/>
          <w:szCs w:val="24"/>
        </w:rPr>
        <w:alias w:val="Baseline Characteristics"/>
        <w:tag w:val="PlaceholderBaseline"/>
        <w:id w:val="-109747858"/>
        <w:lock w:val="sdtContentLocked"/>
        <w:placeholder>
          <w:docPart w:val="E9C4D328EC434A9C80A86F8356AA250C"/>
        </w:placeholder>
        <w:showingPlcHdr/>
      </w:sdtPr>
      <w:sdtEndPr/>
      <w:sdtContent>
        <w:p>
          <w:r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Total 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p/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[units: participants]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52</w:t>
                    </w:r>
                  </w:p>
                </w:tc>
              </w:tr>
              <w:tr>
                <w:tc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Age Continuous</w:t>
                    </w: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
                        <w:br/>
                        (units: years) 
                        <w:br/>
                        Mean 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/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76.4±5.31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69.6±8.02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73.1±7.52</w:t>
                    </w:r>
                  </w:p>
                </w:tc>
              </w:tr>
              <w:tr>
                <w:tc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Sex: Female, Male</w:t>
                    </w: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
                        <w:br/>
                        (units: participants) 
                        <w:br/>
                        Count of Participants (Not Applicable)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Female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35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Male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17</w:t>
                    </w:r>
                  </w:p>
                </w:tc>
              </w:tr>
              <w:tr>
                <w:tc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Race/Ethnicity, Customized</w:t>
                    </w: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
                        <w:br/>
                        (units: participants) 
                        <w:br/>
                        Count of Participants (Not Applicable)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White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25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ff"/>
                        <w:szCs w:val="18"/>
                        <w:sz w:val="18"/>
                      </w:rPr>
                      <w:t>52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ff"/>
                  <w:szCs w:val="18"/>
                  <w:sz w:val="18"/>
                </w:rPr>
                <w:t/>
              </w:r>
            </w:p>
          </w:r>
        </w:p>
      </w:sdtContent>
    </w:sdt>
    <w:p w:rsidRPr="00A21F2A" w:rsidR="00A21F2A" w:rsidP="00A21F2A" w:rsidRDefault="00A21F2A" w14:paraId="59EE5BD8" w14:textId="77777777">
      <w:pPr>
        <w:keepLines/>
        <w:spacing w:before="60" w:after="0" w:line="240" w:lineRule="auto"/>
        <w:rPr>
          <w:rFonts w:ascii="Arial" w:hAnsi="Arial" w:eastAsia="Times New Roman" w:cs="Arial"/>
          <w:bCs/>
          <w:i/>
          <w:color w:val="BF30B5"/>
          <w:sz w:val="24"/>
          <w:szCs w:val="24"/>
          <w:lang w:bidi="th-TH"/>
        </w:rPr>
      </w:pPr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Instruction</w:t>
      </w:r>
      <w:r w:rsidRPr="00A21F2A">
        <w:rPr>
          <w:rFonts w:ascii="Arial" w:hAnsi="Arial" w:eastAsia="MS Mincho" w:cs="Arial"/>
          <w:bCs/>
          <w:i/>
          <w:color w:val="BF30B5"/>
          <w:sz w:val="24"/>
          <w:szCs w:val="24"/>
        </w:rPr>
        <w:t>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This information can usually be found in Section 11 of the CSR. Do not include in-text table numbers, post-text table numbers, or appendix numbers from the CSR. </w:t>
      </w:r>
      <w:r w:rsidRPr="00A21F2A">
        <w:rPr>
          <w:rFonts w:ascii="Arial" w:hAnsi="Arial" w:eastAsia="MS Mincho" w:cs="Arial"/>
          <w:bCs/>
          <w:i/>
          <w:color w:val="BF30B5"/>
          <w:sz w:val="24"/>
          <w:szCs w:val="24"/>
        </w:rPr>
        <w:t>Do not include figures or graphics.  Do not include written descriptions.</w:t>
      </w:r>
    </w:p>
    <w:p w:rsidR="00A21F2A" w:rsidP="00493759" w:rsidRDefault="00A21F2A" w14:paraId="28465ADE" w14:textId="77777777">
      <w:pPr>
        <w:keepLines/>
        <w:spacing w:before="60" w:after="0" w:line="240" w:lineRule="auto"/>
        <w:rPr>
          <w:rFonts w:ascii="Arial" w:hAnsi="Arial" w:eastAsia="Times New Roman" w:cs="Arial"/>
          <w:bCs/>
          <w:i/>
          <w:color w:val="BF30B5"/>
          <w:sz w:val="24"/>
          <w:szCs w:val="24"/>
          <w:lang w:bidi="th-TH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  <w:lang w:bidi="th-TH"/>
        </w:rPr>
        <w:t xml:space="preserve">Definition:  </w:t>
      </w:r>
      <w:r w:rsidRPr="00A21F2A">
        <w:rPr>
          <w:rFonts w:ascii="Arial" w:hAnsi="Arial" w:eastAsia="Times New Roman" w:cs="Arial"/>
          <w:bCs/>
          <w:i/>
          <w:color w:val="BF30B5"/>
          <w:sz w:val="24"/>
          <w:szCs w:val="24"/>
          <w:lang w:bidi="th-TH"/>
        </w:rPr>
        <w:t xml:space="preserve">Outcome Measures tables should match what is in the CSR.  Titles, Tables and Footnotes should be copied/pasted under Primary and Secondary Outcome Measure results. All Primary and Secondary Outcome Measures should be reported. If there is a corresponding Clinicaltrials.gov record, ensure the number and variable of Outcome Measures matches ClinicalTrial.gov.  Formatting may differ. </w:t>
      </w:r>
    </w:p>
    <w:p w:rsidRPr="00493759" w:rsidR="00B822C8" w:rsidP="00493759" w:rsidRDefault="00B822C8" w14:paraId="2E18B19E" w14:textId="77777777">
      <w:pPr>
        <w:keepLines/>
        <w:spacing w:before="60" w:after="0" w:line="240" w:lineRule="auto"/>
        <w:rPr>
          <w:rFonts w:ascii="Arial" w:hAnsi="Arial" w:eastAsia="Times New Roman" w:cs="Arial"/>
          <w:bCs/>
          <w:i/>
          <w:color w:val="BF30B5"/>
          <w:sz w:val="24"/>
          <w:szCs w:val="24"/>
          <w:lang w:bidi="th-TH"/>
        </w:rPr>
      </w:pPr>
    </w:p>
    <w:p w:rsidRPr="00A21F2A" w:rsidR="0099148A" w:rsidP="0099148A" w:rsidRDefault="0099148A" w14:paraId="0462D25E" w14:textId="77777777">
      <w:pPr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i/>
          <w:sz w:val="24"/>
          <w:szCs w:val="20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 xml:space="preserve">Primary Outcome Result(s) </w:t>
      </w:r>
    </w:p>
    <w:sdt>
      <w:sdtPr>
        <w:rPr>
          <w:rFonts w:ascii="Arial" w:hAnsi="Arial" w:eastAsia="Times New Roman" w:cs="Arial"/>
          <w:bCs/>
          <w:i/>
          <w:color w:val="BF30B5"/>
          <w:sz w:val="24"/>
          <w:szCs w:val="24"/>
        </w:rPr>
        <w:alias w:val="Primary Outcome Measures with Analyses"/>
        <w:tag w:val="PlaceholderOutcomeMeasuresWithAnalyses"/>
        <w:id w:val="886311251"/>
        <w:lock w:val="contentLocked"/>
        <w:placeholder>
          <w:docPart w:val="C8F332D4AB3E4D85A66AF0E6D11A20FE"/>
        </w:placeholder>
        <w:showingPlcHdr/>
      </w:sdtPr>
      <w:sdtEndPr/>
      <w:sdtContent>
        <w:p>
          <w:r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Percentage of GCA participants in sustained remission until Week 28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Until week 28)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1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Percentage of GCA participants in sustained remission until Week 28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percentage of participants)
                        <w:br/>
                        Median (95% Confidence Interval)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0.70
                        <w:br/>
                        (0.52 to 0.85)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0.20
                        <w:br/>
                        (0.12 to 0.30)
                      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Statistical Analysis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Groups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Secukinumab,
                        <w:br/>
                        Placebo
                      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Odds Ratio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Odds Ratio (OR)
                        <w:br/>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9.31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95
                        <w:br/>
                        % Confidence Interval
                        <w:br/>
                        2-Sided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3.54 to 26.29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Statistical Analysis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Groups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Secukinumab,
                        <w:br/>
                        Placebo
                      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Risk Difference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Risk Difference (RD)
                        <w:br/>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0.50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95
                        <w:br/>
                        % Confidence Interval
                        <w:br/>
                        2-Sided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0.29 to 0.67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Statistical Analysis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Groups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Secukinumab,
                        <w:br/>
                        Placebo
                      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Risk ratio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Risk Ratio (RR)
                        <w:br/>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3.43</w:t>
                    </w:r>
                  </w:p>
                </w:tc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95
                        <w:br/>
                        % Confidence Interval
                        <w:br/>
                        2-Sided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2.10 to 5.87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</w:tr>
            </w:tbl>
          </w:r>
        </w:p>
      </w:sdtContent>
    </w:sdt>
    <w:p w:rsidRPr="00014928" w:rsidR="00A21F2A" w:rsidP="0099148A" w:rsidRDefault="00A21F2A" w14:paraId="03C0E281" w14:textId="77777777">
      <w:pPr>
        <w:keepNext/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Secondary Outcome Result(s)</w:t>
      </w:r>
    </w:p>
    <w:sdt>
      <w:sdtPr>
        <w:rPr>
          <w:rFonts w:ascii="Arial" w:hAnsi="Arial" w:eastAsia="Times New Roman" w:cs="Arial"/>
          <w:b/>
          <w:sz w:val="24"/>
          <w:szCs w:val="20"/>
        </w:rPr>
        <w:alias w:val="Secondary Outcome Measures with Analyses"/>
        <w:tag w:val="PlaceholderSecondaryOutcomeWithAnalyses"/>
        <w:id w:val="1419674234"/>
        <w:lock w:val="contentLocked"/>
        <w:placeholder>
          <w:docPart w:val="8C34EA18E74C448AA50EF94A042268B3"/>
        </w:placeholder>
        <w:showingPlcHdr/>
      </w:sdtPr>
      <w:sdtEndPr/>
      <w:sdtContent>
        <w:p>
          <w:r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Percentage of participants at remission at Week 12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Week 12)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1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Percentage of participants at remission at Week 12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percentage of participants)
                        <w:br/>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81.5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48.0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Time to first GCA flare after clinical remission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Up to Week 52 (included))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1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Time to first GCA flare after clinical remission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days)
                        <w:br/>
                        Median (95% Confidence Interval)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NA
                        <w:br/>
                        (NA to NA)
                        <w:r>
                          <w:rPr>
                            <w:vertAlign w:val="superscript"/>
                          </w:rPr>
                          <w:t>[1] </w:t>
                        </w:r>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197.0
                        <w:br/>
                        (101.0 to 280.0)
                      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>
                  [1] NA: not reached, why?
                  <w:br/>
                </w:t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Total cumulative prednisolone dose over 28 and 52 weeks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Over 28 and 52 weeks)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Total cumulative prednisolone dose over 28 and 52 weeks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total cumulative prednisolone)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Baseline to Week 28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2689.70 ± 935.860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2693.74 ± 1241.907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Baseline to Week 52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2841.26 ± 1116.192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3375.58 ± 1720.978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Percentage of participants with GCA who had sustained remission until Week 52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Until Week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1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Percentage of participants with GCA who had sustained remission until Week 52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Percentage of participants)
                        <w:br/>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/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59.3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8.0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Percentage of participants on prednisolone dose ≤ 5mg/day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Week 19, Week 28, Week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Percentage of participants on prednisolone dose ≤ 5mg/day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Percentage of participants)
                        <w:br/>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19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88.0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50.0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 (n = 23,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82.6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45.0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21, 17)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90.5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76.5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Physicians global assessment (PhGA) of disease activity: Change from Baseline Score via visual analogue scale (VAS)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Weeks 4, 8, 12, 16, 20, 24, 28, 36, 44 &amp;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Physicians global assessment (PhGA) of disease activity: Change from Baseline Score via visual analogue scale (VAS)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scores on a scale)
                        <w:br/>
                        Mean ± Standard Error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-4.8 ± 14.43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-3.2 ± 18.45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-5.8 ± 12.77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 ± 18.94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-3.4 ± 21.93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-3.1 ± 10.81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-4.1 ± 15.62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 ± 13.97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-6.9 ± 14.78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-1.5 ± 14.32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 (n = 23,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-4.3 ± 15.92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2.2 ± 17.22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 (23,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-5.4 ± 15.61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3.9 ± 21.47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 (21,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-8.7 ± 18.45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 ± 17.45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-5.5 ± 16.87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1.1 ± 15.20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-9.5 ± 16.72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4.0 ± 21.24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Patients global assessment (PGA) of disease activity: Change from Baseline via visual analogue scale (VAS)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Weeks 4, 8, 12, 16, 20, 24, 28, 36, 44 &amp;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Patients global assessment (PGA) of disease activity: Change from Baseline via visual analogue scale (VAS)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scores on a scale)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-15.8 ± 28.17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-0.5 ± 23.58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-15.8 ± 27.61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-10.8 ± 27.64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-8.0 ± 29.43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-11.9 ± 31.46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-18.6 ± 19.39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-8.8 ± 31.43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-19.18 ± 30.68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-6.9 ± 31.94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 (n = 23,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-14.9 ± 28.84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-7.0 ± 30.61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-14.4 ± 25.46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-8.0 ± 31.31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-20.9 ± 22.31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-8.6 ± 29.90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-21.7 ± 27.35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-9.4 ± 30.58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-19.2 ± 27.35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-15.9 ± 24.04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Change from Baseline in FACIT-Fatigue scale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Weeks 4, 8, 12, 16, 20, 24, 28, 36, 44 &amp;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Change from Baseline in FACIT-Fatigue scale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scores on a scale)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2.11 ± 9.613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-0.96 ± 7.358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2.19 ± 10.190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0.81 ± 7.498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0.96 ± 11.175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-0.25 ± 10.047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2.12 ± 8.876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-0.36 ± 8.884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 (n =24,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3.42 ± 8.617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0.05 ± 10.318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 (n = 23,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2.91 ± 10.409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-3.10 ± 11.281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3.61 ± 11.044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0.42 ± 9.203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3.90 ± 7.245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1.84 ± 8.719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2.67 ± 5.986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0.31 ± 10.928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19.63 ± 43.792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5.51 ± 27.259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Change from Baseline in Short-Form (SF)-36 questionnaire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Weeks 4, 8, 12, 16, 20, 24, 28, 36, 44 &amp;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Change from Baseline in Short-Form (SF)-36 questionnaire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scores on a scale)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Physical Functioning (PF)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44.36 ± 11.226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43.98 ± 10.159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PF (n = 26 ,21)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-0.44 ± 8.849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0.18 ± 4.987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PF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0.38 ± 6.322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-0.38 ± 8.750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PF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-0.00 ± 8.646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-0.86 ± 6.814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PF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0.80 ± 8.098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-0.10 ± 6.495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PF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0.52 ± 5.702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-2.11 ± 8.667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PF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1.25 ± 5.276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-0.40 ± 6.460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PF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1.37 ± 5.778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-1.31 ± 6.631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PF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1.00 ± 6.674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-0.36 ± 8.065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PF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2.46 ± 4.770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0.12 ± 5.696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Role-Physical (R-P) (n =27,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3.49 ± 7.886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0.49 ± 10.616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R-P (n =26,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3.80 ± 9.628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-0.75 ± 10.515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R-P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3.32 ± 9.3301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1.01 ± 9.539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R-P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4.58 ± 8.947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-1.12 ± 8.847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R-P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4.40 ± 9.538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-0.45 ± 8.163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R-P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3.37 ± 7.458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-0.00 ± 10.094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R-P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5.96 ± 10.034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1.77 ± 8.553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R-P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5.99 ± 6.444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0.24 ± 10.121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R-P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5.13 ± 6.515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0.70 ± 11.262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R-P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6.20 ± 6.659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1.40 ± 9.126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Bodily Pain (BP)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8.03 ± 13.272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7.68 ± 11.235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BP (n = 26, 21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5.80 ± 14.475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9.68 ± 10.485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BP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6.92 ± 13.426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6.84 ± 11.674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BP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7.69 ± 14.841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4.50 ± 13.560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BP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6.10 ± 14.072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8.63 ± 12.457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BP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5.97 ± 12.689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3.93 ± 11.952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BP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6.47 ± 12.643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6.32 ± 13.149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BP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7.20 ± 13.724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7.81 ± 10.794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BP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8.01 ± 15.378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9.00 ± 7.910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BP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5.49 ± 12.328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8.39 ± 11.866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General Health (GH) ( 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3.49 ± 9.207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0.23 ± 6.761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GH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2.74 ± 8.119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0.18 ± 6.758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GH (n = 25, 20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2.22 ± 7.383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0.62 ± 8.158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GH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2.28 ± 8.235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-0.74 ± 7.858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GH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4.50 ± 6.774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-0.38 ± 7.933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GH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2.85 ± 7.149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-0.19 ± 9.031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GH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3.53 ± 7.285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1.18 ± 7.837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36:GH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3.42 ± 6.680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-0.47 ± 7.833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GH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1.02 ± 8.127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-0.30 ± 9.597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GH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3.03 ± 6.733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0.15 ± 10.277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Vitality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4.07 ± 8.607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-1.42 ± 7.699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Vitality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2.17 ± 7.952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0.71 ± 8.185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Vitality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3.57 ± 7.477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-0.30 ± 9.241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Vitality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4.28 ± 7.431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-0.45 ± 7.847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Vitality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4.70 ± 8.445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0.45 ± 9.652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Vitality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3.78 ± 7.112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-1.93 ± 11.697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Vitality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6.20 ± 7.489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0.16 ± 6.679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Vitality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7.07 ± 7.060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1.41 ± 5.635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Vitality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6.08 ± 8.375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-0.93 ± 12.497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Vitality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7.21 ± 8.690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0.37 ± 11.474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Social Functioning (SF)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3.71 ± 7.939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1.74 ± 7.499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SF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4.82 ± 8.327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2.63 ± 9.979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SF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4.01 ± 9.154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1.76 ± 7.325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SF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5.21 ± 11.069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0.75 ± 7.325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SF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4.81 ± 10.080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3.51 ± 8.150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SF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4.56 ± 8.602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0.00 ± 10.912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SF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3.49 ± 8.476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3.17 ± 9.631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SF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7.16 ± 10.703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5.01 ± 7.285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SF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6.45 ± 8.988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0.63 ± 11.561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SF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7.16 ± 8.621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2.82 ± 9.681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Role-Emotional (RE)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-0.77 ± 12.454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3.48 ± 12.985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RE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3.08 ± 11.457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1.99 ± 13.239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RE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-0.42 ± 12.076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0.52 ± 13.188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RE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3.76 ± 10.586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-0.00 ± 11.465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RE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3.48 ± 11.058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0.35 ± 11.569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RE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2.85 ± 11.753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-1.22 ± 16.025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RE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3.63 ± 11.853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1.10 ± 11.725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RE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5.47 ± 10.066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0.73 ± 16.518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RE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4.15 ± 12.293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3.26 ± 16.354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RE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6.14 ± 11.385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0.43 ± 19.234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4: Mental Health (MH)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3.0 ± 8.514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0.57 ± 8.420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8: MH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2.82 ± 10.643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1.49 ± 6.950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12: MH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3.14 ± 10.786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4.45 ± 7.690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16: MH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4.29 ± 8.337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5.36 ± 6.379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20: MH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3.49 ± 10.926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6.41 ± 7.984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24: MH (n = 22,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2.62 ± 8.730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2.61 ± 13.149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28: MH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2.84 ± 9.816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6.06 ± 7.350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36: MH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5.98 ± 8.111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5.64 ± 8.988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44: MH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4.11 ± 8.969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1.14 ± 11.891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52: MH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5.73 ± 7.473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4.25 ± 11.257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Change from Baseline in EQ (EuroQol)-5D-5L questionnaire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Weeks 4, 8, 12, 16, 20, 24, 28, 36, 44 &amp;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25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Change from Baseline in EQ (EuroQol)-5D-5L questionnaire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scores on a scale)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 (n = 27, 23)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11.26 ± 16.819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1.87 ± 21.467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8 (n = 26, 21)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5.58 ± 16.650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5.52 ± 29.646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12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4.64 ± 19.598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3.30 ± 22.850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16 (n = 25,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7.000 ± 19.530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4.40 ± 27.354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20 (n = 24,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7.88 ± 19.077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6.30 ± 25.041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24 (n = 23, 20)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6.39 ± 17.598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-1.00 ± 29.902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 (n = 23,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4.43 ± 17.840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10.37 ± 21.670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36 (n = 21, 19)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6.90 ± 17.972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5.32 ± 28.825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44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6.38 ± 19.505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12.69 ± 21.941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21, 16)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11.62 ± 16.877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10.81 ± 24.109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Change from Baseline in Erythrocyte Sedimentation Rate (ESR)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 28, Week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Change from Baseline in Erythrocyte Sedimentation Rate (ESR)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mm/hr)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4.158 ± 17.3630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9.667 ± 21.0206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17, 5)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-4.647 ± 11.1296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13.000 ± 6.2450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b w:val="on"/>
                  <w:szCs w:val="22"/>
                  <w:sz w:val="22"/>
                </w:rPr>
                <w:t>Change from Baseline in C-Reactive Protein (CRP) Level</w:t>
              </w:r>
              <w:r>
                <w:rPr>
                  <w:rFonts w:ascii="Arial" w:eastAsia="Times New Roman" w:hAnsi="Arial" w:cs="Arial"/>
                  <w:szCs w:val="18"/>
                  <w:b w:val="off"/>
                  <w:sz w:val="18"/>
                </w:rPr>
                <w:t>
                  <w:br/>
                  (Time Frame: Baseline, Week 28, Week 52)
                </w:t>
              </w:r>
            </w:p>
            <w:tbl xmlns:w="http://schemas.openxmlformats.org/wordprocessingml/2006/main">
              <w:tblPr>
                <w:tblW w:w="0" w:type="auto"/>
                <w:tblBorders>
                  <w:top w:val="none" w:sz="4" w:space="0" w:color="auto"/>
                  <w:left w:val="none" w:sz="4" w:space="0" w:color="auto"/>
                  <w:bottom w:val="none" w:sz="4" w:space="0" w:color="auto"/>
                  <w:right w:val="none" w:sz="4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Secukinumab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Placebo</w:t>
                    </w:r>
                  </w:p>
                </w:tc>
              </w:tr>
              <w:tr>
                <w:tc>
                  <w:tcPr>
                    <w:vAlign w:val="center"/>
                    <w:tcW w:w="1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Arm/Group Description
                      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Number of Participants Analyzed [units: participants]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19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6</w:t>
                    </w:r>
                  </w:p>
                </w:tc>
              </w:tr>
              <w:tr>
                <w:tc id="outcomeGridSpan">
                  <w:tcPr>
                    <w:vAlign w:val="center"/>
                    <w:gridSpan w:val="3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Change from Baseline in C-Reactive Protein (CRP) Level</w:t>
                    </w: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
                        <w:br/>
                        (units: mg/L)
                        <w:br/>
                        Mean ± Standard Deviation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28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3.968 ± 8.7463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3.417 ± 4.4459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Week 52 (n = 17, 5)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-0.759 ± 2.7803</w:t>
                    </w:r>
                  </w:p>
                </w:tc>
                <w:tc>
                  <w:tcPr>
                    <w:vAlign w:val="center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b w:val="off"/>
                        <w:sz w:val="18"/>
                      </w:rPr>
                      <w:t>12.720 ± 24.0632</w:t>
                    </w:r>
                  </w:p>
                </w:tc>
              </w:tr>
            </w:tbl>
            <w:p xmlns:w="http://schemas.openxmlformats.org/wordprocessingml/2006/main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</w:r>
        </w:p>
      </w:sdtContent>
    </w:sdt>
    <w:p w:rsidR="006777B1" w:rsidP="00A85A1B" w:rsidRDefault="006777B1" w14:paraId="30D31746" w14:textId="77777777">
      <w:pPr>
        <w:keepNext/>
        <w:keepLines/>
        <w:spacing w:before="120" w:after="12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</w:p>
    <w:p w:rsidRPr="00A21F2A" w:rsidR="00A21F2A" w:rsidP="00A21F2A" w:rsidRDefault="00A21F2A" w14:paraId="2D30B4D1" w14:textId="77777777">
      <w:pPr>
        <w:keepNext/>
        <w:keepLines/>
        <w:spacing w:before="120" w:after="12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bookmarkStart w:name="_GoBack" w:id="0"/>
      <w:bookmarkEnd w:id="0"/>
      <w:r w:rsidRPr="00A21F2A">
        <w:rPr>
          <w:rFonts w:ascii="Arial" w:hAnsi="Arial" w:eastAsia="MS Mincho" w:cs="Arial"/>
          <w:b/>
          <w:bCs/>
          <w:i/>
          <w:color w:val="BF30B5"/>
          <w:sz w:val="24"/>
          <w:szCs w:val="24"/>
        </w:rPr>
        <w:t>Instruction: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This information can usually be found in </w:t>
      </w:r>
      <w:r w:rsidR="00B822C8">
        <w:rPr>
          <w:rFonts w:ascii="Arial" w:hAnsi="Arial" w:eastAsia="MS Mincho" w:cs="Arial"/>
          <w:i/>
          <w:color w:val="BF30B5"/>
          <w:sz w:val="24"/>
          <w:szCs w:val="24"/>
        </w:rPr>
        <w:t>the CSR</w:t>
      </w:r>
      <w:r w:rsidRPr="00A21F2A">
        <w:rPr>
          <w:rFonts w:ascii="Arial" w:hAnsi="Arial" w:eastAsia="MS Mincho" w:cs="Arial"/>
          <w:i/>
          <w:color w:val="BF30B5"/>
          <w:sz w:val="24"/>
          <w:szCs w:val="24"/>
        </w:rPr>
        <w:t xml:space="preserve"> </w:t>
      </w:r>
    </w:p>
    <w:p w:rsidRPr="00A21F2A" w:rsidR="00A21F2A" w:rsidP="00A21F2A" w:rsidRDefault="00A21F2A" w14:paraId="40958E57" w14:textId="77777777">
      <w:pPr>
        <w:keepNext/>
        <w:keepLines/>
        <w:spacing w:before="120" w:after="120" w:line="240" w:lineRule="auto"/>
        <w:rPr>
          <w:rFonts w:ascii="Arial" w:hAnsi="Arial" w:eastAsia="MS Mincho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i/>
          <w:color w:val="BF30B5"/>
          <w:sz w:val="24"/>
          <w:szCs w:val="24"/>
        </w:rPr>
        <w:t xml:space="preserve">Definition:  Safety tables for </w:t>
      </w:r>
      <w:r w:rsidR="00CB42B4">
        <w:rPr>
          <w:rFonts w:ascii="Arial" w:hAnsi="Arial" w:eastAsia="Times New Roman" w:cs="Arial"/>
          <w:b/>
          <w:i/>
          <w:color w:val="BF30B5"/>
          <w:sz w:val="24"/>
          <w:szCs w:val="24"/>
        </w:rPr>
        <w:t>Company</w:t>
      </w:r>
      <w:r w:rsidRPr="00A21F2A">
        <w:rPr>
          <w:rFonts w:ascii="Arial" w:hAnsi="Arial" w:eastAsia="Times New Roman" w:cs="Arial"/>
          <w:b/>
          <w:i/>
          <w:color w:val="BF30B5"/>
          <w:sz w:val="24"/>
          <w:szCs w:val="24"/>
        </w:rPr>
        <w:t xml:space="preserve"> Clinical Trial Results template: by system organ class, </w:t>
      </w:r>
    </w:p>
    <w:p w:rsidR="00A21F2A" w:rsidP="0007478C" w:rsidRDefault="00A21F2A" w14:paraId="44828655" w14:textId="77777777">
      <w:pPr>
        <w:keepNext/>
        <w:keepLines/>
        <w:spacing w:before="120" w:after="120" w:line="240" w:lineRule="auto"/>
        <w:rPr>
          <w:rFonts w:ascii="Arial" w:hAnsi="Arial" w:eastAsia="Times New Roman" w:cs="Arial"/>
          <w:b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i/>
          <w:color w:val="BF30B5"/>
          <w:sz w:val="24"/>
          <w:szCs w:val="24"/>
        </w:rPr>
        <w:t xml:space="preserve">By preferred term and death/SAE/discontinuations </w:t>
      </w:r>
    </w:p>
    <w:p w:rsidRPr="0007478C" w:rsidR="00B822C8" w:rsidP="0007478C" w:rsidRDefault="00B822C8" w14:paraId="5E6845D7" w14:textId="77777777">
      <w:pPr>
        <w:keepNext/>
        <w:keepLines/>
        <w:spacing w:before="120" w:after="120" w:line="240" w:lineRule="auto"/>
        <w:rPr>
          <w:rFonts w:ascii="Arial" w:hAnsi="Arial" w:eastAsia="Times New Roman" w:cs="Arial"/>
          <w:b/>
          <w:i/>
          <w:color w:val="BF30B5"/>
          <w:sz w:val="24"/>
          <w:szCs w:val="24"/>
        </w:rPr>
      </w:pPr>
    </w:p>
    <w:p w:rsidR="00A21F2A" w:rsidP="00A21F2A" w:rsidRDefault="00394DFD" w14:paraId="614C3693" w14:textId="77777777">
      <w:pPr>
        <w:keepNext/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>
        <w:rPr>
          <w:rFonts w:ascii="Arial" w:hAnsi="Arial" w:eastAsia="Times New Roman" w:cs="Arial"/>
          <w:b/>
          <w:sz w:val="24"/>
          <w:szCs w:val="20"/>
          <w:u w:val="single"/>
        </w:rPr>
        <w:t>Safety Results</w:t>
      </w:r>
    </w:p>
    <w:p w:rsidR="007C10F5" w:rsidP="00A21F2A" w:rsidRDefault="007C10F5" w14:paraId="43D68DB4" w14:textId="77777777">
      <w:pPr>
        <w:keepNext/>
        <w:keepLines/>
        <w:spacing w:before="120" w:after="12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</w:p>
    <w:p w:rsidR="002A79DB" w:rsidP="002A79DB" w:rsidRDefault="007C10F5" w14:paraId="1907063D" w14:textId="77777777">
      <w:pPr>
        <w:keepNext/>
        <w:keepLines/>
        <w:spacing w:before="120" w:after="12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0"/>
        </w:rPr>
        <w:t>All-Cause Mortality</w:t>
      </w:r>
    </w:p>
    <w:sdt>
      <w:sdtPr>
        <w:rPr>
          <w:rFonts w:ascii="Arial" w:hAnsi="Arial" w:eastAsia="Times New Roman" w:cs="Arial"/>
          <w:i/>
          <w:color w:val="BF30B5"/>
          <w:sz w:val="24"/>
          <w:szCs w:val="24"/>
        </w:rPr>
        <w:alias w:val="All Cause Mortality Table"/>
        <w:tag w:val="PlaceholderMortalityTable"/>
        <w:id w:val="-1479835153"/>
        <w:lock w:val="contentLocked"/>
        <w:placeholder>
          <w:docPart w:val="52757DD75F2D4C178FC3C616785B37DE"/>
        </w:placeholder>
        <w:showingPlcHdr/>
      </w:sdtPr>
      <w:sdtEndPr/>
      <w:sdtContent>
        <w:p>
          <w:r>
            <w:tbl xmlns:w="http://schemas.openxmlformats.org/wordprocessingml/2006/main" xmlns:str2="http://gotdotnet.com/exslt/strings">
              <w:tblPr>
                <w:tblBorders>
                  <w:top w:val="non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Secukinumab
                        <w:br/>
                        N = 27
                      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Placebo
                        <w:br/>
                        N = 25
                      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All Participants
                        <w:br/>
                        N = 52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Arm/Group Description 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All participants who participated in the study.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Total participants affected 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</w:tbl>
          </w:r>
        </w:p>
      </w:sdtContent>
    </w:sdt>
    <w:p w:rsidRPr="00A21F2A" w:rsidR="00A21F2A" w:rsidP="00A21F2A" w:rsidRDefault="00885B30" w14:paraId="01689EF3" w14:textId="77777777">
      <w:pPr>
        <w:keepNext/>
        <w:keepLines/>
        <w:spacing w:before="240" w:after="60" w:line="240" w:lineRule="auto"/>
        <w:ind w:left="1701" w:hanging="1701"/>
        <w:rPr>
          <w:rFonts w:ascii="Arial" w:hAnsi="Arial" w:eastAsia="Times New Roman" w:cs="Arial"/>
          <w:b/>
          <w:sz w:val="24"/>
          <w:szCs w:val="20"/>
        </w:rPr>
      </w:pPr>
      <w:r>
        <w:rPr>
          <w:rFonts w:ascii="Arial" w:hAnsi="Arial" w:eastAsia="Times New Roman" w:cs="Arial"/>
          <w:b/>
          <w:sz w:val="24"/>
          <w:szCs w:val="20"/>
        </w:rPr>
        <w:t xml:space="preserve">Serious </w:t>
      </w:r>
      <w:r w:rsidRPr="00A21F2A" w:rsidR="00A21F2A">
        <w:rPr>
          <w:rFonts w:ascii="Arial" w:hAnsi="Arial" w:eastAsia="Times New Roman" w:cs="Arial"/>
          <w:b/>
          <w:sz w:val="24"/>
          <w:szCs w:val="20"/>
        </w:rPr>
        <w:t>Adverse Events by System Organ Class</w:t>
      </w:r>
    </w:p>
    <w:sdt>
      <w:sdtPr>
        <w:rPr>
          <w:rFonts w:ascii="Arial" w:hAnsi="Arial" w:eastAsia="Times New Roman" w:cs="Arial"/>
          <w:i/>
          <w:color w:val="BF30B5"/>
          <w:sz w:val="24"/>
          <w:szCs w:val="24"/>
        </w:rPr>
        <w:alias w:val="Adverse Event By Organ System"/>
        <w:tag w:val="PlaceholderSeriousAdverseEvents"/>
        <w:id w:val="-416479028"/>
        <w:lock w:val="sdtContentLocked"/>
        <w:placeholder>
          <w:docPart w:val="EF2386AB3FD94BF5A2F142EAAE9CB92D"/>
        </w:placeholder>
        <w:showingPlcHdr/>
      </w:sdtPr>
      <w:sdtEndPr/>
      <w:sdtContent>
        <w:p>
          <w:r>
            <w:tbl xmlns:w="http://schemas.openxmlformats.org/wordprocessingml/2006/main" xmlns:str2="http://gotdotnet.com/exslt/strings">
              <w:tblPr>
                <w:tblBorders>
                  <w:top w:val="non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Time Frame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Adverse Events were reported from first dose of study treatment until end of treatment plus 30 days, up to a maximum duration of 573 days (543 days maximum exposure plus 30 days post treatment) for midostaurin and up to a maximum duration of 416 days (386 days maximum exposure plus 30 days post treatment) for placebo.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Additional Description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Adverse Event (AE): Any sign or symptom that occurs during treatment plus 30 days post treatment.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Source Vocabulary for Table Default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MedDRA (24.0)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Assessment Type for Table Default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Systematic Assessment</w:t>
                    </w:r>
                  </w:p>
                </w:tc>
              </w:tr>
            </w:tbl>
            <w:p xmlns:w="http://schemas.openxmlformats.org/wordprocessingml/2006/main" xmlns:str2="http://gotdotnet.com/exslt/strings">
              <w:r>
                <w:t/>
              </w:r>
            </w:p>
            <w:tbl xmlns:w="http://schemas.openxmlformats.org/wordprocessingml/2006/main" xmlns:str2="http://gotdotnet.com/exslt/strings">
              <w:tblPr>
                <w:tblBorders>
                  <w:top w:val="non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p/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Secukinumab
                        <w:br/>
                        N = 27
                      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Placebo
                        <w:br/>
                        N = 25
                      </w:t>
                    </w:r>
                  </w:p>
                </w:tc>
                <w:tc>
                  <w:tcPr>
                    <w:vAlign w:val="bottom"/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All Participants
                        <w:br/>
                        N = 52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Arm/Group Description 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All participants who participated in the study.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Total participants affected 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6 (22.22%)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11 (44.00%)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17 (32.69%)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Cardiac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Atrial fibrillation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Atrial tachycardia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Cardiac failure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Tachyarrhythmia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Gastrointestinal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Faecaloma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Gastrointestinal pain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Melaena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Noninfective sialoadenitis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General disorders and administration site conditions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General physical health deterioration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Pyrexia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Infections and infestations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Arthritis bacterial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Erysipelas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Urinary tract infection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Injury, poisoning and procedural complications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Face injury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Fall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Femur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Fibula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Pelvic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Spinal compression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Investigations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Inflammatory marker increased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Metabolism and nutrition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Fluid retention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Musculoskeletal and connective tissue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Spinal stenosis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Neoplasms benign, malignant and unspecified (incl cysts and polyps)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Squamous cell carcinoma of lung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Nervous system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Cerebrovascular accident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Dizziness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Facial paralysis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Intracranial aneurysm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Neurological symptom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Syncope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Respiratory, thoracic and mediastinal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Asphyxia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Aspiration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Chronic obstructive pulmonary disease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Pulmonary embolism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Vascular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Deep vein thrombosis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  <w:tr>
                <w:tc>
                  <w:tcPr>
                    <w:tcW w:w="2380" w:type="dxa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  <w:b w:val="off"/>
                      </w:rPr>
                      <w:t>Haematoma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(1.92%)</w:t>
                    </w:r>
                  </w:p>
                </w:tc>
              </w:tr>
            </w:tbl>
            <w:p xmlns:w="http://schemas.openxmlformats.org/wordprocessingml/2006/main" xmlns:str2="http://gotdotnet.com/exslt/strings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</w:r>
        </w:p>
      </w:sdtContent>
    </w:sdt>
    <w:p w:rsidR="00757864" w:rsidP="00A21F2A" w:rsidRDefault="00757864" w14:paraId="7F9DBA58" w14:textId="77777777">
      <w:pPr>
        <w:keepLines/>
        <w:spacing w:before="240" w:after="6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</w:rPr>
      </w:pPr>
      <w:r>
        <w:rPr>
          <w:rFonts w:ascii="Arial" w:hAnsi="Arial" w:eastAsia="Times New Roman" w:cs="Arial"/>
          <w:b/>
          <w:sz w:val="24"/>
          <w:szCs w:val="20"/>
        </w:rPr>
        <w:t xml:space="preserve">Other Adverse Events </w:t>
      </w:r>
      <w:r w:rsidR="00E9618F">
        <w:rPr>
          <w:rFonts w:ascii="Arial" w:hAnsi="Arial" w:eastAsia="Times New Roman" w:cs="Arial"/>
          <w:b/>
          <w:sz w:val="24"/>
          <w:szCs w:val="20"/>
        </w:rPr>
        <w:t>b</w:t>
      </w:r>
      <w:r>
        <w:rPr>
          <w:rFonts w:ascii="Arial" w:hAnsi="Arial" w:eastAsia="Times New Roman" w:cs="Arial"/>
          <w:b/>
          <w:sz w:val="24"/>
          <w:szCs w:val="20"/>
        </w:rPr>
        <w:t>y System Organ Class</w:t>
      </w:r>
    </w:p>
    <w:sdt>
      <w:sdtPr>
        <w:rPr>
          <w:rFonts w:ascii="Arial" w:hAnsi="Arial" w:eastAsia="Times New Roman" w:cs="Arial"/>
          <w:b/>
          <w:sz w:val="24"/>
          <w:szCs w:val="20"/>
        </w:rPr>
        <w:alias w:val="Other Adverse Events"/>
        <w:tag w:val="PlaceholderOtherAdverseEvents"/>
        <w:id w:val="-434831429"/>
        <w:lock w:val="sdtContentLocked"/>
        <w:placeholder>
          <w:docPart w:val="FE366CF63CD541A8A4541D852C504C62"/>
        </w:placeholder>
        <w:showingPlcHdr/>
      </w:sdtPr>
      <w:sdtEndPr/>
      <w:sdtContent>
        <w:p>
          <w:r>
            <w:tbl xmlns:w="http://schemas.openxmlformats.org/wordprocessingml/2006/main" xmlns:str2="http://gotdotnet.com/exslt/strings">
              <w:tblPr>
                <w:tblBorders>
                  <w:top w:val="non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Time Frame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Adverse Events were reported from first dose of study treatment until end of treatment plus 30 days, up to a maximum duration of 573 days (543 days maximum exposure plus 30 days post treatment) for midostaurin and up to a maximum duration of 416 days (386 days maximum exposure plus 30 days post treatment) for placebo.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Additional Description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Adverse Event (AE): Any sign or symptom that occurs during treatment plus 30 days post treatment.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Source Vocabulary for Table Default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MedDRA (24.0)</w:t>
                    </w:r>
                  </w:p>
                </w:tc>
              </w:tr>
              <w:tr>
                <w:tc>
                  <w:tcPr>
                    <w:vAlign w:val="center"/>
                    <w:tcW w:w="18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Assessment Type for Table Default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Systematic Assessment</w:t>
                    </w:r>
                  </w:p>
                </w:tc>
              </w:tr>
              <w:tr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Frequent Event Reporting Threshold </w:t>
                    </w:r>
                  </w:p>
                </w:tc>
                <w:tc>
                  <w:tcPr>
                    <w:vAlign w:val="center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5% </w:t>
                    </w:r>
                  </w:p>
                </w:tc>
              </w:tr>
            </w:tbl>
            <w:p xmlns:w="http://schemas.openxmlformats.org/wordprocessingml/2006/main" xmlns:str2="http://gotdotnet.com/exslt/strings">
              <w:r>
                <w:t/>
              </w:r>
            </w:p>
            <w:tbl xmlns:w="http://schemas.openxmlformats.org/wordprocessingml/2006/main" xmlns:str2="http://gotdotnet.com/exslt/strings">
              <w:tblPr>
                <w:tblBorders>
                  <w:top w:val="non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none" w:sz="4" w:space="0" w:color="auto"/>
                </w:tblBorders>
              </w:tblPr>
              <w:tr>
                <w:tc>
                  <w:tcPr>
                    <w:tcW w:w="1300" w:type="dxa"/>
                  </w:tcPr>
                  <w:p/>
                </w:tc>
                <w:tc>
                  <w:tcPr>
                    <w:vAlign w:val="bottom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Secukinumab
                        <w:br/>
                        N = 27
                      </w:t>
                    </w:r>
                  </w:p>
                </w:tc>
                <w:tc>
                  <w:tcPr>
                    <w:vAlign w:val="bottom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Placebo
                        <w:br/>
                        N = 25
                      </w:t>
                    </w:r>
                  </w:p>
                </w:tc>
                <w:tc>
                  <w:tcPr>
                    <w:vAlign w:val="bottom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
                        All Participants
                        <w:br/>
                        N = 52
                      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Arm/Group Description 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secukinumab at a dose of 300 milligrams (mg)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Participants received placebo as subcutaneous (s.c.) injection at Baseline, Week 1,2,3,4 and then every 4 weeks thereafter through to week 48 along with a 26-week prednisolone tapering regimen.</w:t>
                    </w:r>
                  </w:p>
                </w:tc>
                <w:tc>
                  <w:tcPr>
                    <w:tcW w:w="1380" w:type="dxa"/>
                  </w:tcPr>
                  <w:p>
                    <w:pPr>
                      <w:spacing w:before="60" w:after="60" w:line="240" w:lineRule="auto"/>
                      <w:jc w:val="center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All participants who participated in the study.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szCs w:val="18"/>
                        <w:sz w:val="18"/>
                      </w:rPr>
                      <w:t> Total participants affected 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25 (92.59%)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23 (92.00%)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48 (92.31%)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Endocrine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Cushingoid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Eye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Glaucoma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(7.69%)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Vision blurred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Gastrointestinal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Dental caries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Diarrhoea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(7.69%)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Haemorrhoidal haemorrhage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Nausea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General disorders and administration site conditions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Fatigue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Oedema peripheral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(16.00%)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6 (11.54%)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Infections and infestations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Gastroenteritis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Nasopharyngitis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(18.52%)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(20.00%)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10 (19.23%)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Oral candidiasis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(14.81%)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(9.62%)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Respiratory tract infection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Rhinitis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Urinary tract infection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(14.81%)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6 (11.54%)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Injury, poisoning and procedural complications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Bone contusion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Fall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Rib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Skin laceration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Thoracic vertebral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Tooth fracture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Investigations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Blood pressure increased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C-reactive protein increased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Gamma-glutamyltransferase increased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Metabolism and nutrition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Diabetes mellitus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Musculoskeletal and connective tissue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Arthralgia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(11.11%)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(12.00%)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6 (11.54%)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Back pain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(20.00%)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(9.62%)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Bursitis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(11.11%)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(7.69%)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Muscle spasms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(14.81%)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(9.62%)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Osteoarthritis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(11.11%)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5 (9.62%)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Osteoporosis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Nervous system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Dizziness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(11.11%)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Headache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(14.81%)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(12.00%)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7 (13.46%)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Polyneuropathy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Sciatica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Tension headache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Skin and subcutaneous tissue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Alopecia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(4.00%)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Rash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(7.69%)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Skin ulcer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(7.41%)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0 (0.00%)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(3.85%)</w:t>
                    </w:r>
                  </w:p>
                </w:tc>
              </w:tr>
              <w:tr>
                <w:tc>
                  <w:tcPr>
                    <w:vAlign w:val="center"/>
                    <w:tcW w:w="2380" w:type="dxa"/>
                  </w:tcPr>
                  <w:p>
                    <w:pPr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b w:val="on"/>
                        <w:vAlign w:val="center"/>
                        <w:szCs w:val="18"/>
                        <w:sz w:val="18"/>
                      </w:rPr>
                      <w:t>Vascular disorders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  <w:tc>
                  <w:tcPr>
                    <w:tcW w:w="1300" w:type="dxa"/>
                  </w:tcPr>
                  <w:p>
                    <w:r>
                      <w:t>   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Giant cell arteritis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2 (8.00%)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(5.77%)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Haematoma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 (3.70%)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3 (12.00%)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4 (7.69%)</w:t>
                    </w:r>
                  </w:p>
                </w:tc>
              </w:tr>
              <w:tr>
                <w:tc>
                  <w:tcPr>
                    <w:tcW w:w="2380" w:type="dxa"/>
                    <w:vAlign w:val="center"/>
                  </w:tcPr>
                  <w:p>
                    <w:pPr>
                      <w:ind w:left="180"/>
                      <w:spacing w:before="60" w:after="60" w:line="240" w:lineRule="auto"/>
                    </w:pPr>
                    <w:r>
                      <w:rPr>
                        <w:szCs w:val="18"/>
                        <w:sz w:val="18"/>
                        <w:rFonts w:ascii="Arial" w:eastAsia="Times New Roman" w:hAnsi="Arial" w:cs="Arial"/>
                        <w:b w:val="off"/>
                      </w:rPr>
                      <w:t>Hypertension</w:t>
                    </w:r>
                    <w:r>
                      <w:rPr>
                        <w:rFonts w:ascii="Arial" w:eastAsia="Times New Roman" w:hAnsi="Arial" w:cs="Arial"/>
                        <w:szCs w:val="16"/>
                        <w:sz w:val="16"/>
                      </w:rPr>
                      <w:t/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6 (22.22%)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8 (32.00%)</w:t>
                    </w:r>
                  </w:p>
                </w:tc>
                <w:tc>
                  <w:tcPr>
                    <w:vAlign w:val="center"/>
                    <w:tcW w:w="1300" w:type="dxa"/>
                  </w:tcPr>
                  <w:p>
                    <w:pPr>
                      <w:jc w:val="center"/>
                      <w:spacing w:before="60" w:after="60" w:line="240" w:lineRule="auto"/>
                    </w:pPr>
                    <w:r>
                      <w:rPr>
                        <w:rFonts w:ascii="Arial" w:eastAsia="Times New Roman" w:hAnsi="Arial" w:cs="Arial"/>
                        <w:szCs w:val="18"/>
                        <w:sz w:val="18"/>
                      </w:rPr>
                      <w:t>14 (26.92%)</w:t>
                    </w:r>
                  </w:p>
                </w:tc>
              </w:tr>
            </w:tbl>
            <w:p xmlns:w="http://schemas.openxmlformats.org/wordprocessingml/2006/main" xmlns:str2="http://gotdotnet.com/exslt/strings">
              <w:pPr>
                <w:spacing w:before="60" w:after="60" w:line="240" w:lineRule="auto"/>
              </w:pPr>
              <w:r>
                <w:rPr>
                  <w:rFonts w:ascii="Arial" w:eastAsia="Times New Roman" w:hAnsi="Arial" w:cs="Arial"/>
                  <w:szCs w:val="16"/>
                  <w:sz w:val="16"/>
                </w:rPr>
                <w:t/>
              </w:r>
            </w:p>
          </w:r>
        </w:p>
      </w:sdtContent>
    </w:sdt>
    <w:p w:rsidRPr="00A21F2A" w:rsidR="00A21F2A" w:rsidP="00A21F2A" w:rsidRDefault="00A21F2A" w14:paraId="415759D6" w14:textId="77777777">
      <w:pPr>
        <w:keepLines/>
        <w:spacing w:before="240" w:after="60" w:line="240" w:lineRule="auto"/>
        <w:ind w:left="1699" w:hanging="1699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Other Relevant Findings</w:t>
      </w:r>
    </w:p>
    <w:p w:rsidRPr="00A21F2A" w:rsidR="00A21F2A" w:rsidP="00A21F2A" w:rsidRDefault="00A21F2A" w14:paraId="4F1E478D" w14:textId="77777777">
      <w:pPr>
        <w:keepLines/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lastRenderedPageBreak/>
        <w:t>Definition: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Important finding not meeting the criteria for efficacy/safety results (</w:t>
      </w:r>
      <w:proofErr w:type="spellStart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>ie</w:t>
      </w:r>
      <w:proofErr w:type="spellEnd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, notable change in laboratory or drug trough values that posed no safety </w:t>
      </w:r>
      <w:proofErr w:type="gramStart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>issue, but</w:t>
      </w:r>
      <w:proofErr w:type="gramEnd"/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is of medical interest).</w:t>
      </w:r>
    </w:p>
    <w:p w:rsidRPr="00CB42B4" w:rsidR="00A21F2A" w:rsidP="00CB42B4" w:rsidRDefault="00A21F2A" w14:paraId="57ABB9C6" w14:textId="77777777">
      <w:pPr>
        <w:keepLines/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</w:pPr>
      <w:r w:rsidRPr="00A21F2A">
        <w:rPr>
          <w:rFonts w:ascii="Arial" w:hAnsi="Arial" w:eastAsia="Times New Roman" w:cs="Arial"/>
          <w:b/>
          <w:i/>
          <w:color w:val="BF30B5"/>
          <w:sz w:val="24"/>
          <w:szCs w:val="24"/>
        </w:rPr>
        <w:t>Example: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 xml:space="preserve">Mean (SD) parameters of </w:t>
      </w:r>
      <w:r w:rsidR="00CB42B4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>company</w:t>
      </w:r>
      <w:r w:rsidRPr="00A21F2A">
        <w:rPr>
          <w:rFonts w:ascii="Arial" w:hAnsi="Arial" w:eastAsia="Times New Roman" w:cs="Arial"/>
          <w:i/>
          <w:color w:val="BF30B5"/>
          <w:sz w:val="24"/>
          <w:szCs w:val="24"/>
          <w:lang w:bidi="th-TH"/>
        </w:rPr>
        <w:t xml:space="preserve"> product </w:t>
      </w:r>
    </w:p>
    <w:p w:rsidRPr="00A21F2A" w:rsidR="00A21F2A" w:rsidP="00A21F2A" w:rsidRDefault="00A21F2A" w14:paraId="7202BAB1" w14:textId="77777777">
      <w:pPr>
        <w:keepNext/>
        <w:keepLines/>
        <w:spacing w:before="240" w:after="60" w:line="240" w:lineRule="auto"/>
        <w:ind w:left="1701" w:hanging="1701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Conclusion:</w:t>
      </w:r>
    </w:p>
    <w:p w:rsidRPr="00A21F2A" w:rsidR="00A21F2A" w:rsidP="00A21F2A" w:rsidRDefault="00A21F2A" w14:paraId="6DC1095D" w14:textId="77777777">
      <w:pPr>
        <w:keepNext/>
        <w:keepLines/>
        <w:spacing w:before="240" w:after="60" w:line="240" w:lineRule="auto"/>
        <w:ind w:left="1701" w:hanging="1701"/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Instruction:  This should be copied from the CSR Synopsis.  Please read carefully:</w:t>
      </w:r>
    </w:p>
    <w:p w:rsidRPr="00A21F2A" w:rsidR="00A21F2A" w:rsidP="00A21F2A" w:rsidRDefault="00A21F2A" w14:paraId="219138BC" w14:textId="77777777">
      <w:pPr>
        <w:keepNext/>
        <w:keepLines/>
        <w:numPr>
          <w:ilvl w:val="0"/>
          <w:numId w:val="25"/>
        </w:numPr>
        <w:spacing w:before="240" w:after="60" w:line="240" w:lineRule="auto"/>
        <w:contextualSpacing/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Ensure that the conclusion refers to only primary and secondary outcome measures</w:t>
      </w:r>
    </w:p>
    <w:p w:rsidRPr="00A21F2A" w:rsidR="00A21F2A" w:rsidP="00A21F2A" w:rsidRDefault="00A21F2A" w14:paraId="5B3A5930" w14:textId="77777777">
      <w:pPr>
        <w:keepNext/>
        <w:keepLines/>
        <w:numPr>
          <w:ilvl w:val="0"/>
          <w:numId w:val="25"/>
        </w:numPr>
        <w:spacing w:before="240" w:after="60" w:line="240" w:lineRule="auto"/>
        <w:contextualSpacing/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No exploratory outcome measures</w:t>
      </w:r>
    </w:p>
    <w:p w:rsidRPr="00A21F2A" w:rsidR="00A21F2A" w:rsidP="00A21F2A" w:rsidRDefault="00A21F2A" w14:paraId="687C7EEC" w14:textId="77777777">
      <w:pPr>
        <w:keepNext/>
        <w:keepLines/>
        <w:numPr>
          <w:ilvl w:val="0"/>
          <w:numId w:val="25"/>
        </w:numPr>
        <w:spacing w:before="240" w:after="60" w:line="240" w:lineRule="auto"/>
        <w:contextualSpacing/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Spell out all acronyms</w:t>
      </w:r>
    </w:p>
    <w:p w:rsidRPr="00A21F2A" w:rsidR="00A21F2A" w:rsidP="00A21F2A" w:rsidRDefault="00A21F2A" w14:paraId="0B1E0093" w14:textId="77777777">
      <w:pPr>
        <w:keepNext/>
        <w:keepLines/>
        <w:numPr>
          <w:ilvl w:val="0"/>
          <w:numId w:val="25"/>
        </w:numPr>
        <w:spacing w:before="240" w:after="60" w:line="240" w:lineRule="auto"/>
        <w:contextualSpacing/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 xml:space="preserve">Remove any </w:t>
      </w:r>
      <w:r w:rsidR="00CB42B4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company</w:t>
      </w: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 xml:space="preserve"> specific terminology</w:t>
      </w:r>
    </w:p>
    <w:p w:rsidRPr="00A21F2A" w:rsidR="00A21F2A" w:rsidP="00A21F2A" w:rsidRDefault="00A21F2A" w14:paraId="1908BCE7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0"/>
          <w:u w:val="single"/>
        </w:rPr>
      </w:pPr>
    </w:p>
    <w:p w:rsidRPr="00A21F2A" w:rsidR="00A21F2A" w:rsidP="00A21F2A" w:rsidRDefault="00A21F2A" w14:paraId="7F43B7EA" w14:textId="77777777">
      <w:pPr>
        <w:keepNext/>
        <w:keepLines/>
        <w:spacing w:before="240" w:after="60" w:line="240" w:lineRule="auto"/>
        <w:ind w:left="1701" w:hanging="1701"/>
        <w:rPr>
          <w:rFonts w:ascii="Arial" w:hAnsi="Arial" w:eastAsia="Times New Roman" w:cs="Arial"/>
          <w:b/>
          <w:sz w:val="24"/>
          <w:szCs w:val="20"/>
          <w:u w:val="single"/>
        </w:rPr>
      </w:pPr>
      <w:r w:rsidRPr="00A21F2A">
        <w:rPr>
          <w:rFonts w:ascii="Arial" w:hAnsi="Arial" w:eastAsia="Times New Roman" w:cs="Arial"/>
          <w:b/>
          <w:sz w:val="24"/>
          <w:szCs w:val="20"/>
          <w:u w:val="single"/>
        </w:rPr>
        <w:t>Date of Clinical Trial Report</w:t>
      </w:r>
    </w:p>
    <w:p w:rsidRPr="00A21F2A" w:rsidR="00A21F2A" w:rsidP="00A21F2A" w:rsidRDefault="00A21F2A" w14:paraId="63F38F94" w14:textId="77777777">
      <w:pPr>
        <w:keepLines/>
        <w:spacing w:before="60" w:after="0" w:line="240" w:lineRule="auto"/>
        <w:rPr>
          <w:rFonts w:ascii="Arial" w:hAnsi="Arial" w:eastAsia="Times New Roman" w:cs="Arial"/>
          <w:i/>
          <w:color w:val="BF30B5"/>
          <w:sz w:val="24"/>
          <w:szCs w:val="24"/>
        </w:rPr>
      </w:pPr>
      <w:r w:rsidRPr="00A21F2A">
        <w:rPr>
          <w:rFonts w:ascii="Arial" w:hAnsi="Arial" w:eastAsia="Times New Roman" w:cs="Arial"/>
          <w:b/>
          <w:bCs/>
          <w:i/>
          <w:color w:val="BF30B5"/>
          <w:sz w:val="24"/>
          <w:szCs w:val="24"/>
        </w:rPr>
        <w:t>Definition:</w:t>
      </w:r>
      <w:r w:rsidR="00B822C8">
        <w:rPr>
          <w:rFonts w:ascii="Arial" w:hAnsi="Arial" w:eastAsia="Times New Roman" w:cs="Arial"/>
          <w:i/>
          <w:color w:val="BF30B5"/>
          <w:sz w:val="24"/>
          <w:szCs w:val="24"/>
        </w:rPr>
        <w:t xml:space="preserve"> e-signature date</w:t>
      </w:r>
    </w:p>
    <w:sectPr w:rsidRPr="00A21F2A" w:rsidR="00A21F2A" w:rsidSect="00A21F2A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A707" w14:textId="77777777" w:rsidR="006B09F5" w:rsidRDefault="006B09F5" w:rsidP="00A21F2A">
      <w:pPr>
        <w:spacing w:after="0" w:line="240" w:lineRule="auto"/>
      </w:pPr>
      <w:r>
        <w:separator/>
      </w:r>
    </w:p>
  </w:endnote>
  <w:endnote w:type="continuationSeparator" w:id="0">
    <w:p w14:paraId="4E4E54AB" w14:textId="77777777" w:rsidR="006B09F5" w:rsidRDefault="006B09F5" w:rsidP="00A2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D3" w:rsidRDefault="004749D3" w14:paraId="26126767" w14:textId="77777777">
    <w:pPr>
      <w:pStyle w:val="Footer"/>
      <w:jc w:val="right"/>
    </w:pPr>
    <w:r>
      <w:t xml:space="preserve">Page </w:t>
    </w:r>
    <w:sdt>
      <w:sdtPr>
        <w:id w:val="1294487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7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749D3" w:rsidP="00A21F2A" w:rsidRDefault="004749D3" w14:paraId="2B159D0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95C64" w14:textId="77777777" w:rsidR="006B09F5" w:rsidRDefault="006B09F5" w:rsidP="00A21F2A">
      <w:pPr>
        <w:spacing w:after="0" w:line="240" w:lineRule="auto"/>
      </w:pPr>
      <w:r>
        <w:separator/>
      </w:r>
    </w:p>
  </w:footnote>
  <w:footnote w:type="continuationSeparator" w:id="0">
    <w:p w14:paraId="533B6078" w14:textId="77777777" w:rsidR="006B09F5" w:rsidRDefault="006B09F5" w:rsidP="00A2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C8" w:rsidP="00B822C8" w:rsidRDefault="00B822C8" w14:paraId="2807AAAA" w14:textId="77777777">
    <w:pPr>
      <w:pStyle w:val="Header"/>
      <w:tabs>
        <w:tab w:val="clear" w:pos="4542"/>
        <w:tab w:val="clear" w:pos="9078"/>
        <w:tab w:val="left" w:pos="2417"/>
      </w:tabs>
    </w:pPr>
  </w:p>
  <w:p w:rsidR="001C3EEC" w:rsidP="001C3EEC" w:rsidRDefault="000A3425" w14:paraId="492B00C4" w14:textId="77777777">
    <w:pPr>
      <w:pStyle w:val="Header"/>
      <w:tabs>
        <w:tab w:val="clear" w:pos="4542"/>
        <w:tab w:val="clear" w:pos="9078"/>
        <w:tab w:val="left" w:pos="2417"/>
      </w:tabs>
    </w:pPr>
    <w:r>
      <w:rPr>
        <w:noProof/>
      </w:rPr>
      <w:drawing>
        <wp:inline distT="0" distB="0" distL="0" distR="0" wp14:anchorId="4E6A321B" wp14:editId="5B111A23">
          <wp:extent cx="1543050" cy="25909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536" cy="27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1C3EEC">
      <w:tab/>
    </w:r>
  </w:p>
  <w:p w:rsidR="001C3EEC" w:rsidP="001C3EEC" w:rsidRDefault="001C3EEC" w14:paraId="11C94436" w14:textId="77777777">
    <w:pPr>
      <w:pStyle w:val="Header"/>
      <w:tabs>
        <w:tab w:val="clear" w:pos="4542"/>
        <w:tab w:val="clear" w:pos="9078"/>
        <w:tab w:val="left" w:pos="2417"/>
      </w:tabs>
    </w:pPr>
  </w:p>
  <w:p w:rsidRPr="00A21F2A" w:rsidR="001C3EEC" w:rsidP="001C3EEC" w:rsidRDefault="001C3EEC" w14:paraId="714A7965" w14:textId="77777777">
    <w:pPr>
      <w:pStyle w:val="Header"/>
      <w:tabs>
        <w:tab w:val="clear" w:pos="4542"/>
        <w:tab w:val="clear" w:pos="9078"/>
        <w:tab w:val="left" w:pos="2417"/>
      </w:tabs>
    </w:pPr>
    <w:r w:rsidRPr="00A21F2A">
      <w:rPr>
        <w:rFonts w:ascii="Times New Roman" w:hAnsi="Times New Roman" w:eastAsiaTheme="minorEastAsia"/>
        <w:b/>
      </w:rPr>
      <w:t xml:space="preserve">Clinical Trial Results </w:t>
    </w:r>
    <w:r>
      <w:rPr>
        <w:rFonts w:ascii="Times New Roman" w:hAnsi="Times New Roman" w:eastAsiaTheme="minorEastAsia"/>
        <w:b/>
      </w:rPr>
      <w:t>Website</w:t>
    </w:r>
  </w:p>
  <w:p w:rsidR="004749D3" w:rsidP="00A21F2A" w:rsidRDefault="004749D3" w14:paraId="51201738" w14:textId="77777777">
    <w:pPr>
      <w:pStyle w:val="Header"/>
      <w:tabs>
        <w:tab w:val="clear" w:pos="4542"/>
        <w:tab w:val="clear" w:pos="9078"/>
        <w:tab w:val="left" w:pos="24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ECF"/>
    <w:multiLevelType w:val="hybridMultilevel"/>
    <w:tmpl w:val="9C0265E8"/>
    <w:lvl w:ilvl="0" w:tplc="41BAD9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C90"/>
    <w:multiLevelType w:val="hybridMultilevel"/>
    <w:tmpl w:val="A970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56DDE"/>
    <w:multiLevelType w:val="hybridMultilevel"/>
    <w:tmpl w:val="F918A42E"/>
    <w:lvl w:ilvl="0" w:tplc="6FA0CC26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0AC150DF"/>
    <w:multiLevelType w:val="hybridMultilevel"/>
    <w:tmpl w:val="A6DE310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08494D"/>
    <w:multiLevelType w:val="multilevel"/>
    <w:tmpl w:val="0409001F"/>
    <w:styleLink w:val="1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7163CD8"/>
    <w:multiLevelType w:val="multilevel"/>
    <w:tmpl w:val="6F56D8A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CF5DF6"/>
    <w:multiLevelType w:val="multilevel"/>
    <w:tmpl w:val="04090023"/>
    <w:styleLink w:val="ArticleSection1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21754E0"/>
    <w:multiLevelType w:val="hybridMultilevel"/>
    <w:tmpl w:val="D826B7C8"/>
    <w:lvl w:ilvl="0" w:tplc="6E2060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073F"/>
    <w:multiLevelType w:val="hybridMultilevel"/>
    <w:tmpl w:val="9FE0F5E0"/>
    <w:lvl w:ilvl="0" w:tplc="E076B220">
      <w:start w:val="1"/>
      <w:numFmt w:val="bullet"/>
      <w:lvlText w:val=""/>
      <w:lvlJc w:val="left"/>
      <w:pPr>
        <w:tabs>
          <w:tab w:val="num" w:pos="424"/>
        </w:tabs>
        <w:ind w:left="4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1BA1BE0"/>
    <w:multiLevelType w:val="hybridMultilevel"/>
    <w:tmpl w:val="13C4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801F8"/>
    <w:multiLevelType w:val="multilevel"/>
    <w:tmpl w:val="0409001D"/>
    <w:styleLink w:val="1ai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9A3203"/>
    <w:multiLevelType w:val="hybridMultilevel"/>
    <w:tmpl w:val="CDBC3D90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 w15:restartNumberingAfterBreak="0">
    <w:nsid w:val="697A4C2B"/>
    <w:multiLevelType w:val="hybridMultilevel"/>
    <w:tmpl w:val="8176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53E23"/>
    <w:multiLevelType w:val="hybridMultilevel"/>
    <w:tmpl w:val="2CFC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29FB"/>
    <w:multiLevelType w:val="hybridMultilevel"/>
    <w:tmpl w:val="9242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15"/>
  </w:num>
  <w:num w:numId="15">
    <w:abstractNumId w:val="21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9"/>
  </w:num>
  <w:num w:numId="21">
    <w:abstractNumId w:val="23"/>
  </w:num>
  <w:num w:numId="22">
    <w:abstractNumId w:val="24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2A"/>
    <w:rsid w:val="00014928"/>
    <w:rsid w:val="0003459F"/>
    <w:rsid w:val="00061E64"/>
    <w:rsid w:val="00072803"/>
    <w:rsid w:val="0007478C"/>
    <w:rsid w:val="000A3425"/>
    <w:rsid w:val="000A790F"/>
    <w:rsid w:val="000A7981"/>
    <w:rsid w:val="000B4AA3"/>
    <w:rsid w:val="000C1639"/>
    <w:rsid w:val="000C520D"/>
    <w:rsid w:val="000D4B2B"/>
    <w:rsid w:val="000F12E1"/>
    <w:rsid w:val="000F2A63"/>
    <w:rsid w:val="001009CB"/>
    <w:rsid w:val="001413BE"/>
    <w:rsid w:val="00144986"/>
    <w:rsid w:val="00153C01"/>
    <w:rsid w:val="00162699"/>
    <w:rsid w:val="001634A8"/>
    <w:rsid w:val="001760C7"/>
    <w:rsid w:val="001974B0"/>
    <w:rsid w:val="001C3EEC"/>
    <w:rsid w:val="001C79FC"/>
    <w:rsid w:val="001F4EA1"/>
    <w:rsid w:val="0021616C"/>
    <w:rsid w:val="002201C3"/>
    <w:rsid w:val="00244C1C"/>
    <w:rsid w:val="0027405A"/>
    <w:rsid w:val="002814A5"/>
    <w:rsid w:val="00283905"/>
    <w:rsid w:val="00291AEB"/>
    <w:rsid w:val="00296299"/>
    <w:rsid w:val="002973D4"/>
    <w:rsid w:val="002A79DB"/>
    <w:rsid w:val="002B35BC"/>
    <w:rsid w:val="002B3B92"/>
    <w:rsid w:val="002C76F1"/>
    <w:rsid w:val="002D13B2"/>
    <w:rsid w:val="002D6AA8"/>
    <w:rsid w:val="002E44B9"/>
    <w:rsid w:val="002F5C9D"/>
    <w:rsid w:val="00324CDD"/>
    <w:rsid w:val="00325DE4"/>
    <w:rsid w:val="0032772B"/>
    <w:rsid w:val="003457EF"/>
    <w:rsid w:val="0035124E"/>
    <w:rsid w:val="00363D8A"/>
    <w:rsid w:val="00374623"/>
    <w:rsid w:val="00383A81"/>
    <w:rsid w:val="00387CC2"/>
    <w:rsid w:val="00393E8A"/>
    <w:rsid w:val="00394DFD"/>
    <w:rsid w:val="003A7220"/>
    <w:rsid w:val="003B5485"/>
    <w:rsid w:val="003C4E12"/>
    <w:rsid w:val="0040267A"/>
    <w:rsid w:val="004049A6"/>
    <w:rsid w:val="00460B52"/>
    <w:rsid w:val="00467EF5"/>
    <w:rsid w:val="004749D3"/>
    <w:rsid w:val="00475308"/>
    <w:rsid w:val="00480848"/>
    <w:rsid w:val="00493759"/>
    <w:rsid w:val="004A6A9C"/>
    <w:rsid w:val="004B662B"/>
    <w:rsid w:val="004D685D"/>
    <w:rsid w:val="00514A78"/>
    <w:rsid w:val="00517AF8"/>
    <w:rsid w:val="0053217D"/>
    <w:rsid w:val="005506A4"/>
    <w:rsid w:val="00554AB4"/>
    <w:rsid w:val="00555B24"/>
    <w:rsid w:val="005A2D04"/>
    <w:rsid w:val="005A7A77"/>
    <w:rsid w:val="005C7B0A"/>
    <w:rsid w:val="005D591E"/>
    <w:rsid w:val="00625308"/>
    <w:rsid w:val="00674EA2"/>
    <w:rsid w:val="006777B1"/>
    <w:rsid w:val="006A60B1"/>
    <w:rsid w:val="006A7C95"/>
    <w:rsid w:val="006B09F5"/>
    <w:rsid w:val="006B7848"/>
    <w:rsid w:val="006C7573"/>
    <w:rsid w:val="006E2239"/>
    <w:rsid w:val="006E5748"/>
    <w:rsid w:val="006F5385"/>
    <w:rsid w:val="00723107"/>
    <w:rsid w:val="00757864"/>
    <w:rsid w:val="0076270F"/>
    <w:rsid w:val="00777C8B"/>
    <w:rsid w:val="00783919"/>
    <w:rsid w:val="00786971"/>
    <w:rsid w:val="00787B47"/>
    <w:rsid w:val="0079383F"/>
    <w:rsid w:val="00796605"/>
    <w:rsid w:val="007C10F5"/>
    <w:rsid w:val="007C7340"/>
    <w:rsid w:val="007D7363"/>
    <w:rsid w:val="008021D7"/>
    <w:rsid w:val="00830F2E"/>
    <w:rsid w:val="0083279F"/>
    <w:rsid w:val="00850146"/>
    <w:rsid w:val="008562B7"/>
    <w:rsid w:val="00884483"/>
    <w:rsid w:val="00885B30"/>
    <w:rsid w:val="008B7FA6"/>
    <w:rsid w:val="008C4317"/>
    <w:rsid w:val="008E1D25"/>
    <w:rsid w:val="008F6E46"/>
    <w:rsid w:val="00902FAA"/>
    <w:rsid w:val="0092121F"/>
    <w:rsid w:val="00933E14"/>
    <w:rsid w:val="0094797D"/>
    <w:rsid w:val="00947DF7"/>
    <w:rsid w:val="009829DE"/>
    <w:rsid w:val="0099148A"/>
    <w:rsid w:val="009C3DC6"/>
    <w:rsid w:val="009D055A"/>
    <w:rsid w:val="009D71A7"/>
    <w:rsid w:val="00A21F2A"/>
    <w:rsid w:val="00A26703"/>
    <w:rsid w:val="00A342E5"/>
    <w:rsid w:val="00A3693F"/>
    <w:rsid w:val="00A64A89"/>
    <w:rsid w:val="00A6540E"/>
    <w:rsid w:val="00A85A1B"/>
    <w:rsid w:val="00A8701F"/>
    <w:rsid w:val="00AA1180"/>
    <w:rsid w:val="00AB202C"/>
    <w:rsid w:val="00AB60EA"/>
    <w:rsid w:val="00AD788C"/>
    <w:rsid w:val="00B04908"/>
    <w:rsid w:val="00B05CD6"/>
    <w:rsid w:val="00B44A5F"/>
    <w:rsid w:val="00B45E53"/>
    <w:rsid w:val="00B63E71"/>
    <w:rsid w:val="00B6699E"/>
    <w:rsid w:val="00B822C8"/>
    <w:rsid w:val="00B921FE"/>
    <w:rsid w:val="00BA33AE"/>
    <w:rsid w:val="00BD3E73"/>
    <w:rsid w:val="00BD7C79"/>
    <w:rsid w:val="00C17E04"/>
    <w:rsid w:val="00C2360F"/>
    <w:rsid w:val="00C444D5"/>
    <w:rsid w:val="00C6215B"/>
    <w:rsid w:val="00C732F9"/>
    <w:rsid w:val="00C9657C"/>
    <w:rsid w:val="00CA5637"/>
    <w:rsid w:val="00CB42B4"/>
    <w:rsid w:val="00CB6D33"/>
    <w:rsid w:val="00CD1EC3"/>
    <w:rsid w:val="00D17193"/>
    <w:rsid w:val="00D748FE"/>
    <w:rsid w:val="00D86BD4"/>
    <w:rsid w:val="00DA1B2B"/>
    <w:rsid w:val="00DA7CF9"/>
    <w:rsid w:val="00DB5D91"/>
    <w:rsid w:val="00DC0832"/>
    <w:rsid w:val="00DD6423"/>
    <w:rsid w:val="00E161A1"/>
    <w:rsid w:val="00E23A24"/>
    <w:rsid w:val="00E34003"/>
    <w:rsid w:val="00E5128C"/>
    <w:rsid w:val="00E61ECB"/>
    <w:rsid w:val="00E9618F"/>
    <w:rsid w:val="00EA5A8F"/>
    <w:rsid w:val="00ED52E1"/>
    <w:rsid w:val="00EE1187"/>
    <w:rsid w:val="00EE417D"/>
    <w:rsid w:val="00F3080A"/>
    <w:rsid w:val="00F33C9B"/>
    <w:rsid w:val="00F43922"/>
    <w:rsid w:val="00F4686A"/>
    <w:rsid w:val="00F47CCD"/>
    <w:rsid w:val="00F52AF7"/>
    <w:rsid w:val="00FA6B89"/>
    <w:rsid w:val="00FC21C9"/>
    <w:rsid w:val="00FD4256"/>
    <w:rsid w:val="00FE63D1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234CE8"/>
  <w15:docId w15:val="{60E8F299-B396-4D16-AB45-38172D3B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qFormat/>
    <w:rsid w:val="00A21F2A"/>
    <w:pPr>
      <w:keepNext/>
      <w:keepLines/>
      <w:numPr>
        <w:numId w:val="14"/>
      </w:numPr>
      <w:spacing w:before="360"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Text"/>
    <w:link w:val="Heading2Char"/>
    <w:qFormat/>
    <w:rsid w:val="00A21F2A"/>
    <w:pPr>
      <w:keepNext/>
      <w:keepLines/>
      <w:numPr>
        <w:ilvl w:val="1"/>
        <w:numId w:val="14"/>
      </w:numPr>
      <w:spacing w:before="240" w:after="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basedOn w:val="Normal"/>
    <w:next w:val="Text"/>
    <w:link w:val="Heading3Char"/>
    <w:qFormat/>
    <w:rsid w:val="00A21F2A"/>
    <w:pPr>
      <w:keepNext/>
      <w:keepLines/>
      <w:numPr>
        <w:ilvl w:val="2"/>
        <w:numId w:val="14"/>
      </w:numPr>
      <w:spacing w:before="240"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Text"/>
    <w:link w:val="Heading4Char"/>
    <w:qFormat/>
    <w:rsid w:val="00A21F2A"/>
    <w:pPr>
      <w:keepNext/>
      <w:keepLines/>
      <w:numPr>
        <w:ilvl w:val="3"/>
        <w:numId w:val="14"/>
      </w:numPr>
      <w:spacing w:before="240"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Heading4"/>
    <w:next w:val="Text"/>
    <w:link w:val="Heading5Char"/>
    <w:qFormat/>
    <w:rsid w:val="00A21F2A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qFormat/>
    <w:rsid w:val="00A21F2A"/>
    <w:pPr>
      <w:keepNext/>
      <w:keepLines/>
      <w:spacing w:before="240" w:after="60" w:line="240" w:lineRule="auto"/>
      <w:ind w:left="1701" w:hanging="1701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Text"/>
    <w:link w:val="Heading7Char"/>
    <w:qFormat/>
    <w:rsid w:val="00A21F2A"/>
    <w:pPr>
      <w:keepNext/>
      <w:keepLines/>
      <w:spacing w:before="240" w:after="60" w:line="240" w:lineRule="auto"/>
      <w:ind w:left="1701" w:hanging="1701"/>
      <w:outlineLvl w:val="6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A21F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21F2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2A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21F2A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21F2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1F2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1F2A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1F2A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21F2A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A21F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21F2A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A21F2A"/>
  </w:style>
  <w:style w:type="paragraph" w:customStyle="1" w:styleId="Text">
    <w:name w:val="Text"/>
    <w:basedOn w:val="Normal"/>
    <w:link w:val="TextChar1"/>
    <w:rsid w:val="00A21F2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uthors">
    <w:name w:val="Authors"/>
    <w:basedOn w:val="Normal"/>
    <w:rsid w:val="00A21F2A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Listlevel1">
    <w:name w:val="List level 1"/>
    <w:basedOn w:val="Normal"/>
    <w:rsid w:val="00A21F2A"/>
    <w:pPr>
      <w:spacing w:before="40" w:after="20" w:line="240" w:lineRule="auto"/>
      <w:ind w:left="425" w:hanging="425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autoRedefine/>
    <w:rsid w:val="00A21F2A"/>
    <w:pPr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autoRedefine/>
    <w:rsid w:val="00A21F2A"/>
    <w:pPr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mment">
    <w:name w:val="Comment"/>
    <w:basedOn w:val="Normal"/>
    <w:next w:val="Text"/>
    <w:link w:val="CommentChar"/>
    <w:rsid w:val="00A21F2A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i/>
      <w:color w:val="BF30B5"/>
      <w:sz w:val="24"/>
      <w:szCs w:val="24"/>
    </w:rPr>
  </w:style>
  <w:style w:type="paragraph" w:customStyle="1" w:styleId="Compound">
    <w:name w:val="Compound"/>
    <w:basedOn w:val="Normal"/>
    <w:rsid w:val="00A21F2A"/>
    <w:pPr>
      <w:keepNext/>
      <w:spacing w:before="720"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Dedicatednumber">
    <w:name w:val="Dedicatednumber"/>
    <w:basedOn w:val="Normal"/>
    <w:rsid w:val="00A21F2A"/>
    <w:pPr>
      <w:keepNext/>
      <w:spacing w:before="72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Department">
    <w:name w:val="Department"/>
    <w:basedOn w:val="Normal"/>
    <w:rsid w:val="00A21F2A"/>
    <w:pPr>
      <w:keepNext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Docstatus">
    <w:name w:val="Docstatus"/>
    <w:basedOn w:val="Normal"/>
    <w:rsid w:val="00A21F2A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octype">
    <w:name w:val="Doctype"/>
    <w:basedOn w:val="Dedicatednumber"/>
    <w:rsid w:val="00A21F2A"/>
    <w:pPr>
      <w:spacing w:before="240"/>
      <w:jc w:val="left"/>
    </w:pPr>
    <w:rPr>
      <w:sz w:val="24"/>
    </w:rPr>
  </w:style>
  <w:style w:type="character" w:styleId="EndnoteReference">
    <w:name w:val="endnote reference"/>
    <w:semiHidden/>
    <w:rsid w:val="00A21F2A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A21F2A"/>
    <w:pPr>
      <w:spacing w:before="80" w:after="6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Header"/>
    <w:link w:val="FooterChar"/>
    <w:uiPriority w:val="99"/>
    <w:rsid w:val="00A21F2A"/>
  </w:style>
  <w:style w:type="character" w:customStyle="1" w:styleId="FooterChar">
    <w:name w:val="Footer Char"/>
    <w:basedOn w:val="DefaultParagraphFont"/>
    <w:link w:val="Footer"/>
    <w:uiPriority w:val="99"/>
    <w:rsid w:val="00A21F2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1F2A"/>
    <w:pPr>
      <w:widowControl w:val="0"/>
      <w:tabs>
        <w:tab w:val="center" w:pos="4542"/>
        <w:tab w:val="right" w:pos="907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F2A"/>
    <w:rPr>
      <w:rFonts w:ascii="Arial" w:eastAsia="Times New Roman" w:hAnsi="Arial" w:cs="Times New Roman"/>
      <w:sz w:val="20"/>
      <w:szCs w:val="20"/>
    </w:rPr>
  </w:style>
  <w:style w:type="paragraph" w:customStyle="1" w:styleId="Non-proportional">
    <w:name w:val="Non-proportional"/>
    <w:basedOn w:val="Normal"/>
    <w:rsid w:val="00A21F2A"/>
    <w:pPr>
      <w:spacing w:after="0" w:line="240" w:lineRule="atLeast"/>
      <w:jc w:val="both"/>
    </w:pPr>
    <w:rPr>
      <w:rFonts w:ascii="Courier New" w:eastAsia="Times New Roman" w:hAnsi="Courier New" w:cs="Times New Roman"/>
      <w:spacing w:val="-10"/>
      <w:sz w:val="18"/>
      <w:szCs w:val="20"/>
    </w:rPr>
  </w:style>
  <w:style w:type="paragraph" w:customStyle="1" w:styleId="Nottoc-headings">
    <w:name w:val="Not toc-headings"/>
    <w:basedOn w:val="Normal"/>
    <w:next w:val="Text"/>
    <w:rsid w:val="00A21F2A"/>
    <w:pPr>
      <w:keepNext/>
      <w:keepLines/>
      <w:spacing w:before="240" w:after="60" w:line="240" w:lineRule="auto"/>
      <w:ind w:left="1701" w:hanging="170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umberofpages">
    <w:name w:val="Numberofpages"/>
    <w:basedOn w:val="Normal"/>
    <w:rsid w:val="00A21F2A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ropertystatement">
    <w:name w:val="Propertystatement"/>
    <w:basedOn w:val="Numberofpages"/>
    <w:rsid w:val="00A21F2A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A21F2A"/>
    <w:pPr>
      <w:spacing w:before="8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leasedate">
    <w:name w:val="Releasedate"/>
    <w:basedOn w:val="Docstatus"/>
    <w:rsid w:val="00A21F2A"/>
  </w:style>
  <w:style w:type="paragraph" w:customStyle="1" w:styleId="Table">
    <w:name w:val="Table"/>
    <w:basedOn w:val="Nottoc-headings"/>
    <w:link w:val="TableChar"/>
    <w:rsid w:val="00A21F2A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TOC1">
    <w:name w:val="toc 1"/>
    <w:basedOn w:val="Normal"/>
    <w:autoRedefine/>
    <w:rsid w:val="00A21F2A"/>
    <w:pPr>
      <w:tabs>
        <w:tab w:val="right" w:leader="dot" w:pos="9061"/>
      </w:tabs>
      <w:spacing w:after="72" w:line="240" w:lineRule="auto"/>
      <w:ind w:left="425" w:right="454" w:hanging="425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21F2A"/>
    <w:pPr>
      <w:keepNext/>
      <w:spacing w:before="720" w:after="132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21F2A"/>
    <w:rPr>
      <w:rFonts w:ascii="Arial" w:eastAsia="Times New Roman" w:hAnsi="Arial" w:cs="Times New Roman"/>
      <w:b/>
      <w:sz w:val="32"/>
      <w:szCs w:val="20"/>
    </w:rPr>
  </w:style>
  <w:style w:type="paragraph" w:styleId="TOC2">
    <w:name w:val="toc 2"/>
    <w:basedOn w:val="TOC1"/>
    <w:autoRedefine/>
    <w:rsid w:val="00A21F2A"/>
    <w:pPr>
      <w:ind w:left="1134" w:hanging="709"/>
    </w:pPr>
  </w:style>
  <w:style w:type="paragraph" w:styleId="TOC3">
    <w:name w:val="toc 3"/>
    <w:basedOn w:val="TOC2"/>
    <w:autoRedefine/>
    <w:rsid w:val="00A21F2A"/>
    <w:pPr>
      <w:ind w:left="2126" w:hanging="992"/>
    </w:pPr>
  </w:style>
  <w:style w:type="paragraph" w:customStyle="1" w:styleId="Listlevel2">
    <w:name w:val="List level 2"/>
    <w:basedOn w:val="Listlevel1"/>
    <w:rsid w:val="00A21F2A"/>
    <w:pPr>
      <w:ind w:left="850"/>
    </w:pPr>
  </w:style>
  <w:style w:type="paragraph" w:customStyle="1" w:styleId="Firstpageinfo">
    <w:name w:val="Firstpageinfo"/>
    <w:basedOn w:val="Heading5"/>
    <w:rsid w:val="00A21F2A"/>
    <w:pPr>
      <w:numPr>
        <w:ilvl w:val="0"/>
        <w:numId w:val="0"/>
      </w:numPr>
      <w:outlineLvl w:val="9"/>
    </w:pPr>
  </w:style>
  <w:style w:type="character" w:styleId="CommentReference">
    <w:name w:val="annotation reference"/>
    <w:semiHidden/>
    <w:rsid w:val="00A21F2A"/>
    <w:rPr>
      <w:sz w:val="16"/>
    </w:rPr>
  </w:style>
  <w:style w:type="paragraph" w:styleId="CommentText">
    <w:name w:val="annotation text"/>
    <w:basedOn w:val="Normal"/>
    <w:link w:val="CommentText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F2A"/>
    <w:rPr>
      <w:rFonts w:ascii="Times New Roman" w:eastAsia="Times New Roman" w:hAnsi="Times New Roman" w:cs="Times New Roman"/>
      <w:sz w:val="20"/>
      <w:szCs w:val="20"/>
    </w:rPr>
  </w:style>
  <w:style w:type="paragraph" w:customStyle="1" w:styleId="Synopsis">
    <w:name w:val="Synopsis"/>
    <w:basedOn w:val="Text"/>
    <w:rsid w:val="00A21F2A"/>
    <w:rPr>
      <w:rFonts w:ascii="Arial" w:hAnsi="Arial"/>
      <w:sz w:val="20"/>
    </w:rPr>
  </w:style>
  <w:style w:type="paragraph" w:styleId="PlainText">
    <w:name w:val="Plain Text"/>
    <w:basedOn w:val="Normal"/>
    <w:link w:val="PlainTextChar"/>
    <w:semiHidden/>
    <w:rsid w:val="00A21F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1F2A"/>
    <w:rPr>
      <w:rFonts w:ascii="Courier New" w:eastAsia="Times New Roman" w:hAnsi="Courier New" w:cs="Courier New"/>
      <w:sz w:val="20"/>
      <w:szCs w:val="20"/>
    </w:rPr>
  </w:style>
  <w:style w:type="numbering" w:styleId="111111">
    <w:name w:val="Outline List 2"/>
    <w:basedOn w:val="NoList"/>
    <w:semiHidden/>
    <w:rsid w:val="00A21F2A"/>
  </w:style>
  <w:style w:type="paragraph" w:customStyle="1" w:styleId="SAStext">
    <w:name w:val="SAS text"/>
    <w:rsid w:val="00A21F2A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</w:rPr>
  </w:style>
  <w:style w:type="paragraph" w:customStyle="1" w:styleId="TOCEntry">
    <w:name w:val="TOC Entry"/>
    <w:basedOn w:val="Heading2"/>
    <w:next w:val="Text"/>
    <w:rsid w:val="00A21F2A"/>
    <w:pPr>
      <w:numPr>
        <w:ilvl w:val="0"/>
        <w:numId w:val="0"/>
      </w:numPr>
    </w:pPr>
  </w:style>
  <w:style w:type="numbering" w:styleId="1ai">
    <w:name w:val="Outline List 1"/>
    <w:basedOn w:val="NoList"/>
    <w:semiHidden/>
    <w:rsid w:val="00A21F2A"/>
  </w:style>
  <w:style w:type="numbering" w:styleId="ArticleSection">
    <w:name w:val="Outline List 3"/>
    <w:basedOn w:val="NoList"/>
    <w:semiHidden/>
    <w:rsid w:val="00A21F2A"/>
  </w:style>
  <w:style w:type="paragraph" w:styleId="BlockText">
    <w:name w:val="Block Text"/>
    <w:basedOn w:val="Normal"/>
    <w:semiHidden/>
    <w:rsid w:val="00A21F2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21F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21F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A21F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21F2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21F2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21F2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A21F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A21F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A21F2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1F2A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A21F2A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A21F2A"/>
    <w:rPr>
      <w:i/>
      <w:iCs/>
    </w:rPr>
  </w:style>
  <w:style w:type="paragraph" w:styleId="EnvelopeAddress">
    <w:name w:val="envelope address"/>
    <w:basedOn w:val="Normal"/>
    <w:semiHidden/>
    <w:rsid w:val="00A21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21F2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semiHidden/>
    <w:rsid w:val="00A21F2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21F2A"/>
  </w:style>
  <w:style w:type="paragraph" w:styleId="HTMLAddress">
    <w:name w:val="HTML Address"/>
    <w:basedOn w:val="Normal"/>
    <w:link w:val="HTMLAddress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A21F2A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Cite">
    <w:name w:val="HTML Cite"/>
    <w:semiHidden/>
    <w:rsid w:val="00A21F2A"/>
    <w:rPr>
      <w:i/>
      <w:iCs/>
    </w:rPr>
  </w:style>
  <w:style w:type="character" w:styleId="HTMLCode">
    <w:name w:val="HTML Code"/>
    <w:semiHidden/>
    <w:rsid w:val="00A21F2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21F2A"/>
    <w:rPr>
      <w:i/>
      <w:iCs/>
    </w:rPr>
  </w:style>
  <w:style w:type="character" w:styleId="HTMLKeyboard">
    <w:name w:val="HTML Keyboard"/>
    <w:semiHidden/>
    <w:rsid w:val="00A21F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21F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1F2A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21F2A"/>
    <w:rPr>
      <w:rFonts w:ascii="Courier New" w:hAnsi="Courier New" w:cs="Courier New"/>
    </w:rPr>
  </w:style>
  <w:style w:type="character" w:styleId="HTMLTypewriter">
    <w:name w:val="HTML Typewriter"/>
    <w:semiHidden/>
    <w:rsid w:val="00A21F2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21F2A"/>
    <w:rPr>
      <w:i/>
      <w:iCs/>
    </w:rPr>
  </w:style>
  <w:style w:type="character" w:styleId="Hyperlink">
    <w:name w:val="Hyperlink"/>
    <w:semiHidden/>
    <w:rsid w:val="00A21F2A"/>
    <w:rPr>
      <w:color w:val="0000FF"/>
      <w:u w:val="single"/>
    </w:rPr>
  </w:style>
  <w:style w:type="character" w:styleId="LineNumber">
    <w:name w:val="line number"/>
    <w:basedOn w:val="DefaultParagraphFont"/>
    <w:semiHidden/>
    <w:rsid w:val="00A21F2A"/>
  </w:style>
  <w:style w:type="paragraph" w:styleId="List">
    <w:name w:val="List"/>
    <w:basedOn w:val="Normal"/>
    <w:semiHidden/>
    <w:rsid w:val="00A21F2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A21F2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A21F2A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A21F2A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A21F2A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semiHidden/>
    <w:rsid w:val="00A21F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A21F2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semiHidden/>
    <w:rsid w:val="00A21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A21F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semiHidden/>
    <w:rsid w:val="00A21F2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A21F2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A21F2A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A21F2A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A21F2A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A21F2A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A21F2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A21F2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A21F2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A21F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A21F2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semiHidden/>
    <w:rsid w:val="00A21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21F2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21F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A21F2A"/>
  </w:style>
  <w:style w:type="paragraph" w:styleId="Salutation">
    <w:name w:val="Salutation"/>
    <w:basedOn w:val="Normal"/>
    <w:next w:val="Normal"/>
    <w:link w:val="SalutationChar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A21F2A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A21F2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A21F2A"/>
    <w:rPr>
      <w:b/>
      <w:bCs/>
    </w:rPr>
  </w:style>
  <w:style w:type="paragraph" w:styleId="Subtitle">
    <w:name w:val="Subtitle"/>
    <w:basedOn w:val="Normal"/>
    <w:link w:val="SubtitleChar"/>
    <w:qFormat/>
    <w:rsid w:val="00A21F2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1F2A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s">
    <w:name w:val="instructions"/>
    <w:basedOn w:val="Normal"/>
    <w:rsid w:val="00A21F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labelnote">
    <w:name w:val="labelnote"/>
    <w:basedOn w:val="DefaultParagraphFont"/>
    <w:rsid w:val="00A21F2A"/>
  </w:style>
  <w:style w:type="character" w:customStyle="1" w:styleId="help">
    <w:name w:val="help"/>
    <w:basedOn w:val="DefaultParagraphFont"/>
    <w:rsid w:val="00A21F2A"/>
  </w:style>
  <w:style w:type="paragraph" w:styleId="BalloonText">
    <w:name w:val="Balloon Text"/>
    <w:basedOn w:val="Normal"/>
    <w:link w:val="BalloonTextChar"/>
    <w:semiHidden/>
    <w:rsid w:val="00A21F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F2A"/>
    <w:rPr>
      <w:rFonts w:ascii="Tahoma" w:eastAsia="Times New Roman" w:hAnsi="Tahoma" w:cs="Tahoma"/>
      <w:sz w:val="16"/>
      <w:szCs w:val="16"/>
    </w:rPr>
  </w:style>
  <w:style w:type="paragraph" w:customStyle="1" w:styleId="JPLegend">
    <w:name w:val="JP Legend"/>
    <w:basedOn w:val="Normal"/>
    <w:rsid w:val="00A21F2A"/>
    <w:pPr>
      <w:keepLines/>
      <w:tabs>
        <w:tab w:val="left" w:pos="284"/>
      </w:tabs>
      <w:spacing w:before="40" w:after="20" w:line="240" w:lineRule="auto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JPListlevel1">
    <w:name w:val="JP List level 1"/>
    <w:basedOn w:val="Listlevel1"/>
    <w:rsid w:val="00A21F2A"/>
    <w:rPr>
      <w:rFonts w:eastAsia="MS Mincho"/>
      <w:sz w:val="21"/>
      <w:szCs w:val="21"/>
    </w:rPr>
  </w:style>
  <w:style w:type="paragraph" w:customStyle="1" w:styleId="JPListlevel2">
    <w:name w:val="JP List level 2"/>
    <w:basedOn w:val="Listlevel2"/>
    <w:rsid w:val="00A21F2A"/>
    <w:rPr>
      <w:rFonts w:eastAsia="MS Mincho"/>
      <w:sz w:val="21"/>
      <w:szCs w:val="21"/>
    </w:rPr>
  </w:style>
  <w:style w:type="paragraph" w:customStyle="1" w:styleId="JPListlevel3">
    <w:name w:val="JP List level 3"/>
    <w:basedOn w:val="Normal"/>
    <w:rsid w:val="00A21F2A"/>
    <w:pPr>
      <w:spacing w:before="40" w:after="20" w:line="240" w:lineRule="auto"/>
      <w:ind w:left="1296" w:hanging="432"/>
    </w:pPr>
    <w:rPr>
      <w:rFonts w:ascii="Times New Roman" w:eastAsia="MS Mincho" w:hAnsi="Times New Roman" w:cs="Times New Roman"/>
      <w:sz w:val="21"/>
      <w:szCs w:val="21"/>
    </w:rPr>
  </w:style>
  <w:style w:type="paragraph" w:customStyle="1" w:styleId="JPReference">
    <w:name w:val="JP Reference"/>
    <w:basedOn w:val="Reference"/>
    <w:rsid w:val="00A21F2A"/>
    <w:rPr>
      <w:rFonts w:eastAsia="MS Mincho"/>
      <w:sz w:val="21"/>
      <w:szCs w:val="21"/>
    </w:rPr>
  </w:style>
  <w:style w:type="paragraph" w:customStyle="1" w:styleId="JPSAStext">
    <w:name w:val="JP SAS text"/>
    <w:basedOn w:val="SAStext"/>
    <w:rsid w:val="00A21F2A"/>
    <w:rPr>
      <w:rFonts w:eastAsia="MS Mincho" w:cs="Courier New"/>
      <w:sz w:val="18"/>
      <w:szCs w:val="18"/>
    </w:rPr>
  </w:style>
  <w:style w:type="paragraph" w:customStyle="1" w:styleId="JPTable">
    <w:name w:val="JP Table"/>
    <w:basedOn w:val="Table"/>
    <w:rsid w:val="00A21F2A"/>
    <w:rPr>
      <w:rFonts w:ascii="Times New Roman" w:eastAsia="MS Mincho" w:hAnsi="Times New Roman"/>
      <w:sz w:val="18"/>
      <w:szCs w:val="18"/>
    </w:rPr>
  </w:style>
  <w:style w:type="paragraph" w:customStyle="1" w:styleId="JPText">
    <w:name w:val="JP Text"/>
    <w:basedOn w:val="Text"/>
    <w:rsid w:val="00A21F2A"/>
    <w:pPr>
      <w:spacing w:before="0" w:line="360" w:lineRule="atLeast"/>
      <w:ind w:firstLineChars="100" w:firstLine="100"/>
    </w:pPr>
    <w:rPr>
      <w:rFonts w:eastAsia="MS Mincho"/>
      <w:sz w:val="21"/>
      <w:szCs w:val="21"/>
    </w:rPr>
  </w:style>
  <w:style w:type="paragraph" w:customStyle="1" w:styleId="Legend">
    <w:name w:val="Legend"/>
    <w:basedOn w:val="Table"/>
    <w:rsid w:val="00A21F2A"/>
    <w:rPr>
      <w:rFonts w:eastAsia="MS Mincho"/>
      <w:szCs w:val="24"/>
    </w:rPr>
  </w:style>
  <w:style w:type="paragraph" w:customStyle="1" w:styleId="Listlevel3">
    <w:name w:val="List level 3"/>
    <w:basedOn w:val="Listlevel2"/>
    <w:rsid w:val="00A21F2A"/>
    <w:pPr>
      <w:ind w:left="1296" w:hanging="432"/>
    </w:pPr>
    <w:rPr>
      <w:rFonts w:eastAsia="MS Mincho"/>
    </w:rPr>
  </w:style>
  <w:style w:type="paragraph" w:customStyle="1" w:styleId="SynopsisList">
    <w:name w:val="Synopsis List"/>
    <w:basedOn w:val="Synopsis"/>
    <w:rsid w:val="00A21F2A"/>
    <w:pPr>
      <w:spacing w:before="40" w:after="20"/>
      <w:ind w:left="864" w:hanging="432"/>
      <w:jc w:val="left"/>
    </w:pPr>
    <w:rPr>
      <w:rFonts w:eastAsia="MS Gothic"/>
    </w:rPr>
  </w:style>
  <w:style w:type="character" w:customStyle="1" w:styleId="CommentChar">
    <w:name w:val="Comment Char"/>
    <w:link w:val="Comment"/>
    <w:rsid w:val="00A21F2A"/>
    <w:rPr>
      <w:rFonts w:ascii="Times New Roman" w:eastAsia="Times New Roman" w:hAnsi="Times New Roman" w:cs="Times New Roman"/>
      <w:i/>
      <w:color w:val="BF30B5"/>
      <w:sz w:val="24"/>
      <w:szCs w:val="24"/>
    </w:rPr>
  </w:style>
  <w:style w:type="character" w:customStyle="1" w:styleId="help1">
    <w:name w:val="help1"/>
    <w:rsid w:val="00A21F2A"/>
    <w:rPr>
      <w:color w:val="00006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F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rsid w:val="00A21F2A"/>
    <w:pPr>
      <w:widowControl w:val="0"/>
      <w:autoSpaceDE w:val="0"/>
      <w:autoSpaceDN w:val="0"/>
      <w:adjustRightInd w:val="0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nottoc-headings">
    <w:name w:val="JP not toc-headings"/>
    <w:basedOn w:val="Nottoc-headings"/>
    <w:next w:val="JPText"/>
    <w:rsid w:val="00A21F2A"/>
    <w:pPr>
      <w:ind w:left="0" w:firstLine="0"/>
    </w:pPr>
    <w:rPr>
      <w:rFonts w:eastAsia="MS Gothic"/>
      <w:sz w:val="21"/>
      <w:szCs w:val="24"/>
    </w:rPr>
  </w:style>
  <w:style w:type="paragraph" w:styleId="ListParagraph">
    <w:name w:val="List Paragraph"/>
    <w:basedOn w:val="Normal"/>
    <w:uiPriority w:val="34"/>
    <w:qFormat/>
    <w:rsid w:val="00A21F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mmentChar1">
    <w:name w:val="Comment Char1"/>
    <w:rsid w:val="00A21F2A"/>
    <w:rPr>
      <w:i/>
      <w:color w:val="BF30B5"/>
      <w:sz w:val="24"/>
      <w:szCs w:val="24"/>
      <w:lang w:val="en-US" w:eastAsia="en-US" w:bidi="ar-SA"/>
    </w:rPr>
  </w:style>
  <w:style w:type="paragraph" w:customStyle="1" w:styleId="BalloonText1">
    <w:name w:val="Balloon Text1"/>
    <w:basedOn w:val="Normal"/>
    <w:semiHidden/>
    <w:rsid w:val="00A21F2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customStyle="1" w:styleId="CommentSubject1">
    <w:name w:val="Comment Subject1"/>
    <w:basedOn w:val="CommentText"/>
    <w:next w:val="CommentText"/>
    <w:semiHidden/>
    <w:rsid w:val="00A21F2A"/>
    <w:rPr>
      <w:rFonts w:eastAsia="MS Mincho"/>
      <w:b/>
      <w:bCs/>
      <w:lang w:eastAsia="ja-JP"/>
    </w:rPr>
  </w:style>
  <w:style w:type="paragraph" w:customStyle="1" w:styleId="SynopsisList2">
    <w:name w:val="Synopsis List 2"/>
    <w:basedOn w:val="SynopsisList"/>
    <w:rsid w:val="00A21F2A"/>
    <w:pPr>
      <w:ind w:left="1299" w:hanging="431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A21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21F2A"/>
    <w:rPr>
      <w:rFonts w:ascii="Calibri" w:eastAsia="Times New Roman" w:hAnsi="Calibri" w:cs="Times New Roman"/>
    </w:rPr>
  </w:style>
  <w:style w:type="table" w:customStyle="1" w:styleId="Table3Deffects11">
    <w:name w:val="Table 3D effects 11"/>
    <w:basedOn w:val="TableNormal"/>
    <w:next w:val="Table3Deffect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">
    <w:name w:val="1 / 1.1 / 1.1.11"/>
    <w:basedOn w:val="NoList"/>
    <w:next w:val="111111"/>
    <w:semiHidden/>
    <w:rsid w:val="00A21F2A"/>
  </w:style>
  <w:style w:type="numbering" w:customStyle="1" w:styleId="1ai1">
    <w:name w:val="1 / a / i1"/>
    <w:basedOn w:val="NoList"/>
    <w:next w:val="1ai"/>
    <w:semiHidden/>
    <w:rsid w:val="00A21F2A"/>
  </w:style>
  <w:style w:type="numbering" w:customStyle="1" w:styleId="ArticleSection1">
    <w:name w:val="Article / Section1"/>
    <w:basedOn w:val="NoList"/>
    <w:next w:val="ArticleSection"/>
    <w:semiHidden/>
    <w:rsid w:val="00A21F2A"/>
  </w:style>
  <w:style w:type="paragraph" w:customStyle="1" w:styleId="Default">
    <w:name w:val="Default"/>
    <w:rsid w:val="00A21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A21F2A"/>
    <w:rPr>
      <w:rFonts w:ascii="Arial" w:eastAsia="Times New Roman" w:hAnsi="Arial" w:cs="Times New Roman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21F2A"/>
  </w:style>
  <w:style w:type="table" w:customStyle="1" w:styleId="Table3Deffects12">
    <w:name w:val="Table 3D effects 12"/>
    <w:basedOn w:val="TableNormal"/>
    <w:next w:val="Table3Deffect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2">
    <w:name w:val="Table Simple 22"/>
    <w:basedOn w:val="TableNormal"/>
    <w:next w:val="TableSimple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2">
    <w:name w:val="Table Web 12"/>
    <w:basedOn w:val="TableNormal"/>
    <w:next w:val="TableWeb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1">
    <w:name w:val="1 / 1.1 / 1.1.111"/>
    <w:basedOn w:val="NoList"/>
    <w:next w:val="111111"/>
    <w:semiHidden/>
    <w:rsid w:val="00A21F2A"/>
  </w:style>
  <w:style w:type="numbering" w:customStyle="1" w:styleId="1ai11">
    <w:name w:val="1 / a / i11"/>
    <w:basedOn w:val="NoList"/>
    <w:next w:val="1ai"/>
    <w:semiHidden/>
    <w:rsid w:val="00A21F2A"/>
  </w:style>
  <w:style w:type="numbering" w:customStyle="1" w:styleId="ArticleSection11">
    <w:name w:val="Article / Section11"/>
    <w:basedOn w:val="NoList"/>
    <w:next w:val="ArticleSection"/>
    <w:semiHidden/>
    <w:rsid w:val="00A21F2A"/>
  </w:style>
  <w:style w:type="table" w:customStyle="1" w:styleId="Table3Deffects13">
    <w:name w:val="Table 3D effects 13"/>
    <w:basedOn w:val="TableNormal"/>
    <w:next w:val="Table3Deffect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3">
    <w:name w:val="Table Simple 23"/>
    <w:basedOn w:val="TableNormal"/>
    <w:next w:val="TableSimple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3">
    <w:name w:val="Table Web 13"/>
    <w:basedOn w:val="TableNormal"/>
    <w:next w:val="TableWeb1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2">
    <w:name w:val="1 / 1.1 / 1.1.112"/>
    <w:basedOn w:val="NoList"/>
    <w:next w:val="111111"/>
    <w:semiHidden/>
    <w:rsid w:val="00A21F2A"/>
  </w:style>
  <w:style w:type="numbering" w:customStyle="1" w:styleId="1ai12">
    <w:name w:val="1 / a / i12"/>
    <w:basedOn w:val="NoList"/>
    <w:next w:val="1ai"/>
    <w:semiHidden/>
    <w:rsid w:val="00A21F2A"/>
  </w:style>
  <w:style w:type="numbering" w:customStyle="1" w:styleId="ArticleSection12">
    <w:name w:val="Article / Section12"/>
    <w:basedOn w:val="NoList"/>
    <w:next w:val="ArticleSection"/>
    <w:semiHidden/>
    <w:rsid w:val="00A21F2A"/>
  </w:style>
  <w:style w:type="character" w:customStyle="1" w:styleId="data-point">
    <w:name w:val="data-point"/>
    <w:rsid w:val="00A21F2A"/>
  </w:style>
  <w:style w:type="numbering" w:customStyle="1" w:styleId="NoList111">
    <w:name w:val="No List111"/>
    <w:next w:val="NoList"/>
    <w:semiHidden/>
    <w:unhideWhenUsed/>
    <w:rsid w:val="00A21F2A"/>
  </w:style>
  <w:style w:type="numbering" w:customStyle="1" w:styleId="1111112">
    <w:name w:val="1 / 1.1 / 1.1.12"/>
    <w:basedOn w:val="NoList"/>
    <w:next w:val="111111"/>
    <w:semiHidden/>
    <w:rsid w:val="00A21F2A"/>
  </w:style>
  <w:style w:type="numbering" w:customStyle="1" w:styleId="1ai2">
    <w:name w:val="1 / a / i2"/>
    <w:basedOn w:val="NoList"/>
    <w:next w:val="1ai"/>
    <w:semiHidden/>
    <w:rsid w:val="00A21F2A"/>
  </w:style>
  <w:style w:type="numbering" w:customStyle="1" w:styleId="ArticleSection2">
    <w:name w:val="Article / Section2"/>
    <w:basedOn w:val="NoList"/>
    <w:next w:val="ArticleSection"/>
    <w:semiHidden/>
    <w:rsid w:val="00A21F2A"/>
  </w:style>
  <w:style w:type="numbering" w:customStyle="1" w:styleId="11111113">
    <w:name w:val="1 / 1.1 / 1.1.113"/>
    <w:basedOn w:val="NoList"/>
    <w:next w:val="111111"/>
    <w:semiHidden/>
    <w:rsid w:val="00A21F2A"/>
    <w:pPr>
      <w:numPr>
        <w:numId w:val="11"/>
      </w:numPr>
    </w:pPr>
  </w:style>
  <w:style w:type="numbering" w:customStyle="1" w:styleId="1ai13">
    <w:name w:val="1 / a / i13"/>
    <w:basedOn w:val="NoList"/>
    <w:next w:val="1ai"/>
    <w:semiHidden/>
    <w:rsid w:val="00A21F2A"/>
    <w:pPr>
      <w:numPr>
        <w:numId w:val="12"/>
      </w:numPr>
    </w:pPr>
  </w:style>
  <w:style w:type="numbering" w:customStyle="1" w:styleId="ArticleSection13">
    <w:name w:val="Article / Section13"/>
    <w:basedOn w:val="NoList"/>
    <w:next w:val="ArticleSection"/>
    <w:semiHidden/>
    <w:rsid w:val="00A21F2A"/>
    <w:pPr>
      <w:numPr>
        <w:numId w:val="13"/>
      </w:numPr>
    </w:pPr>
  </w:style>
  <w:style w:type="numbering" w:customStyle="1" w:styleId="1111113">
    <w:name w:val="1 / 1.1 / 1.1.13"/>
    <w:basedOn w:val="NoList"/>
    <w:next w:val="111111"/>
    <w:semiHidden/>
    <w:rsid w:val="00A21F2A"/>
  </w:style>
  <w:style w:type="numbering" w:customStyle="1" w:styleId="1ai3">
    <w:name w:val="1 / a / i3"/>
    <w:basedOn w:val="NoList"/>
    <w:next w:val="1ai"/>
    <w:semiHidden/>
    <w:rsid w:val="00A21F2A"/>
  </w:style>
  <w:style w:type="numbering" w:customStyle="1" w:styleId="ArticleSection3">
    <w:name w:val="Article / Section3"/>
    <w:basedOn w:val="NoList"/>
    <w:next w:val="ArticleSection"/>
    <w:semiHidden/>
    <w:rsid w:val="00A21F2A"/>
  </w:style>
  <w:style w:type="numbering" w:customStyle="1" w:styleId="11111114">
    <w:name w:val="1 / 1.1 / 1.1.114"/>
    <w:basedOn w:val="NoList"/>
    <w:next w:val="111111"/>
    <w:semiHidden/>
    <w:rsid w:val="00A21F2A"/>
  </w:style>
  <w:style w:type="numbering" w:customStyle="1" w:styleId="1ai14">
    <w:name w:val="1 / a / i14"/>
    <w:basedOn w:val="NoList"/>
    <w:next w:val="1ai"/>
    <w:semiHidden/>
    <w:rsid w:val="00A21F2A"/>
  </w:style>
  <w:style w:type="numbering" w:customStyle="1" w:styleId="ArticleSection14">
    <w:name w:val="Article / Section14"/>
    <w:basedOn w:val="NoList"/>
    <w:next w:val="ArticleSection"/>
    <w:semiHidden/>
    <w:rsid w:val="00A21F2A"/>
  </w:style>
  <w:style w:type="numbering" w:customStyle="1" w:styleId="NoList1111">
    <w:name w:val="No List1111"/>
    <w:next w:val="NoList"/>
    <w:semiHidden/>
    <w:unhideWhenUsed/>
    <w:rsid w:val="00A21F2A"/>
  </w:style>
  <w:style w:type="character" w:customStyle="1" w:styleId="TextChar1">
    <w:name w:val="Text Char1"/>
    <w:link w:val="Text"/>
    <w:rsid w:val="00A21F2A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A21F2A"/>
    <w:pPr>
      <w:spacing w:before="200" w:after="0" w:line="240" w:lineRule="auto"/>
      <w:ind w:left="1123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748FE"/>
    <w:rPr>
      <w:color w:val="808080"/>
    </w:rPr>
  </w:style>
  <w:style w:type="character" w:customStyle="1" w:styleId="Style1">
    <w:name w:val="Style1"/>
    <w:basedOn w:val="DefaultParagraphFont"/>
    <w:uiPriority w:val="1"/>
    <w:rsid w:val="00A8701F"/>
  </w:style>
  <w:style w:type="character" w:customStyle="1" w:styleId="PlaceholderStyle">
    <w:name w:val="PlaceholderStyle"/>
    <w:basedOn w:val="DefaultParagraphFont"/>
    <w:uiPriority w:val="1"/>
    <w:rsid w:val="000A79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4324CC13CA4AC6A90232108859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1E11-9A68-480F-9A29-CFBF084D948C}"/>
      </w:docPartPr>
      <w:docPartBody>
        <w:p w:rsidR="002136D7" w:rsidRDefault="002136D7" w:rsidP="001F5AA1">
          <w:pPr>
            <w:pStyle w:val="444324CC13CA4AC6A90232108859EE582"/>
          </w:pPr>
        </w:p>
      </w:docPartBody>
    </w:docPart>
    <w:docPart>
      <w:docPartPr>
        <w:name w:val="EB9F024023E2493BB6B2130A137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CF87-37CB-42A2-8D91-46DFD5F2F35E}"/>
      </w:docPartPr>
      <w:docPartBody>
        <w:p w:rsidR="002136D7" w:rsidRDefault="002136D7" w:rsidP="007A2B5B">
          <w:pPr>
            <w:pStyle w:val="EB9F024023E2493BB6B2130A137ED9BC21"/>
          </w:pPr>
        </w:p>
      </w:docPartBody>
    </w:docPart>
    <w:docPart>
      <w:docPartPr>
        <w:name w:val="A5A4ADBB37524AE09B1E461E04C1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BFEC-20B7-4E70-913D-60010FFE24DC}"/>
      </w:docPartPr>
      <w:docPartBody>
        <w:p w:rsidR="002136D7" w:rsidRDefault="002136D7" w:rsidP="007A2B5B">
          <w:pPr>
            <w:pStyle w:val="A5A4ADBB37524AE09B1E461E04C17E2720"/>
          </w:pPr>
        </w:p>
      </w:docPartBody>
    </w:docPart>
    <w:docPart>
      <w:docPartPr>
        <w:name w:val="E0307B96D51F42AE95AB445BCB78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7D59-11D7-4683-BF67-8A147BA36CB0}"/>
      </w:docPartPr>
      <w:docPartBody>
        <w:p w:rsidR="002136D7" w:rsidRDefault="002136D7" w:rsidP="001F5AA1">
          <w:pPr>
            <w:pStyle w:val="E0307B96D51F42AE95AB445BCB7862D91"/>
          </w:pPr>
        </w:p>
      </w:docPartBody>
    </w:docPart>
    <w:docPart>
      <w:docPartPr>
        <w:name w:val="0B5B8BC5E6CA4394B910A170B08F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AEBB-2E6A-412A-A219-708436340B38}"/>
      </w:docPartPr>
      <w:docPartBody>
        <w:p w:rsidR="002136D7" w:rsidRDefault="00385CE7" w:rsidP="00385CE7">
          <w:pPr>
            <w:pStyle w:val="0B5B8BC5E6CA4394B910A170B08F3C1B12"/>
          </w:pPr>
          <w:r w:rsidRPr="00BD7C79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9A5832A7C4F48A98BA7650FA417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05FA-D678-4DEE-BEFB-45890E4CE394}"/>
      </w:docPartPr>
      <w:docPartBody>
        <w:p w:rsidR="007D7AE1" w:rsidRDefault="00385CE7" w:rsidP="00385CE7">
          <w:pPr>
            <w:pStyle w:val="89A5832A7C4F48A98BA7650FA417DD0F28"/>
          </w:pPr>
          <w:r>
            <w:rPr>
              <w:rFonts w:ascii="Arial" w:eastAsia="MS Mincho" w:hAnsi="Arial" w:cs="Arial"/>
              <w:b/>
              <w:bCs/>
              <w:i/>
              <w:color w:val="BF30B5"/>
              <w:sz w:val="24"/>
              <w:szCs w:val="24"/>
            </w:rPr>
            <w:t xml:space="preserve"> </w:t>
          </w:r>
        </w:p>
      </w:docPartBody>
    </w:docPart>
    <w:docPart>
      <w:docPartPr>
        <w:name w:val="2BF08BA23B92421DBC6AF67ED1E3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9D5B-5D4C-42FD-8E5E-88D557216D07}"/>
      </w:docPartPr>
      <w:docPartBody>
        <w:p w:rsidR="0069422E" w:rsidRDefault="0069422E" w:rsidP="004F6411">
          <w:pPr>
            <w:pStyle w:val="2BF08BA23B92421DBC6AF67ED1E378FE2"/>
          </w:pPr>
        </w:p>
      </w:docPartBody>
    </w:docPart>
    <w:docPart>
      <w:docPartPr>
        <w:name w:val="4031CB8AF4D1462E8FEA4FA9263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F9A-EE82-47EB-9911-F28B5682EC72}"/>
      </w:docPartPr>
      <w:docPartBody>
        <w:p w:rsidR="0069422E" w:rsidRDefault="0069422E"/>
      </w:docPartBody>
    </w:docPart>
    <w:docPart>
      <w:docPartPr>
        <w:name w:val="1645779D84C94087A3AB59F48F58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CB9-0585-4B6E-B706-10BB07222E04}"/>
      </w:docPartPr>
      <w:docPartBody>
        <w:p w:rsidR="0069422E" w:rsidRDefault="007A2B5B">
          <w:r>
            <w:t>Not applicable</w:t>
          </w:r>
        </w:p>
      </w:docPartBody>
    </w:docPart>
    <w:docPart>
      <w:docPartPr>
        <w:name w:val="E9C4D328EC434A9C80A86F8356AA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3A5E-D905-4CAE-AE02-36E40A82F837}"/>
      </w:docPartPr>
      <w:docPartBody>
        <w:p w:rsidR="00702B34" w:rsidRDefault="00385CE7" w:rsidP="00385CE7">
          <w:pPr>
            <w:pStyle w:val="E9C4D328EC434A9C80A86F8356AA250C19"/>
          </w:pPr>
          <w:r>
            <w:rPr>
              <w:rFonts w:ascii="Arial" w:eastAsia="MS Mincho" w:hAnsi="Arial" w:cs="Arial"/>
              <w:i/>
              <w:color w:val="BF30B5"/>
              <w:sz w:val="24"/>
              <w:szCs w:val="24"/>
            </w:rPr>
            <w:t xml:space="preserve"> </w:t>
          </w:r>
        </w:p>
      </w:docPartBody>
    </w:docPart>
    <w:docPart>
      <w:docPartPr>
        <w:name w:val="EF2386AB3FD94BF5A2F142EAAE9C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2624-6868-4DB5-BB68-7F77E4B341C0}"/>
      </w:docPartPr>
      <w:docPartBody>
        <w:p w:rsidR="00702B34" w:rsidRDefault="00385CE7" w:rsidP="00385CE7">
          <w:pPr>
            <w:pStyle w:val="EF2386AB3FD94BF5A2F142EAAE9CB92D13"/>
          </w:pPr>
          <w:r>
            <w:rPr>
              <w:rFonts w:ascii="Arial" w:eastAsia="Times New Roman" w:hAnsi="Arial" w:cs="Arial"/>
              <w:i/>
              <w:color w:val="BF30B5"/>
              <w:sz w:val="24"/>
              <w:szCs w:val="24"/>
            </w:rPr>
            <w:t xml:space="preserve"> </w:t>
          </w:r>
        </w:p>
      </w:docPartBody>
    </w:docPart>
    <w:docPart>
      <w:docPartPr>
        <w:name w:val="FE366CF63CD541A8A4541D852C50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A88D-5A91-4E99-9EAB-7BA227B4370B}"/>
      </w:docPartPr>
      <w:docPartBody>
        <w:p w:rsidR="00C25BEB" w:rsidRDefault="00385CE7" w:rsidP="00385CE7">
          <w:pPr>
            <w:pStyle w:val="FE366CF63CD541A8A4541D852C504C6212"/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116B-B259-4837-B324-A539EEF03400}"/>
      </w:docPartPr>
      <w:docPartBody>
        <w:p w:rsidR="00D04DA0" w:rsidRDefault="00D04DA0"/>
      </w:docPartBody>
    </w:docPart>
    <w:docPart>
      <w:docPartPr>
        <w:name w:val="613920DBD3E040A1842682D9B222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81FE-3754-44DF-AEB1-87F80580BA75}"/>
      </w:docPartPr>
      <w:docPartBody>
        <w:p w:rsidR="005E4463" w:rsidRDefault="00385CE7" w:rsidP="00385CE7">
          <w:pPr>
            <w:pStyle w:val="613920DBD3E040A1842682D9B222910910"/>
          </w:pPr>
          <w:r w:rsidRPr="00BD7C79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4AEB1D36E6E41499F923E0D2F57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5785-6040-48E3-8870-D0C1E397C99F}"/>
      </w:docPartPr>
      <w:docPartBody>
        <w:p w:rsidR="00EA481E" w:rsidRDefault="00385CE7" w:rsidP="00385CE7">
          <w:pPr>
            <w:pStyle w:val="C4AEB1D36E6E41499F923E0D2F57B38310"/>
          </w:pPr>
          <w:r w:rsidRPr="00BD7C79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82AC283FB7242D982FEBC37F590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7A04-5645-47DF-9276-005FF290C207}"/>
      </w:docPartPr>
      <w:docPartBody>
        <w:p w:rsidR="00EA481E" w:rsidRDefault="00385CE7" w:rsidP="00385CE7">
          <w:pPr>
            <w:pStyle w:val="182AC283FB7242D982FEBC37F5905E2B10"/>
          </w:pPr>
          <w:r w:rsidRPr="00C17E0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2757DD75F2D4C178FC3C616785B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026D-66BC-4EF1-BD3F-C5C3A0CD0401}"/>
      </w:docPartPr>
      <w:docPartBody>
        <w:p w:rsidR="000831CD" w:rsidRDefault="00385CE7" w:rsidP="00385CE7">
          <w:pPr>
            <w:pStyle w:val="52757DD75F2D4C178FC3C616785B37DE2"/>
          </w:pPr>
          <w:r>
            <w:rPr>
              <w:rFonts w:ascii="Arial" w:eastAsia="Times New Roman" w:hAnsi="Arial" w:cs="Arial"/>
              <w:i/>
              <w:color w:val="BF30B5"/>
              <w:sz w:val="24"/>
              <w:szCs w:val="24"/>
            </w:rPr>
            <w:t xml:space="preserve"> </w:t>
          </w:r>
        </w:p>
      </w:docPartBody>
    </w:docPart>
    <w:docPart>
      <w:docPartPr>
        <w:name w:val="8C34EA18E74C448AA50EF94A0422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CDF4-D515-477C-A5A9-47BFD004030C}"/>
      </w:docPartPr>
      <w:docPartBody>
        <w:p w:rsidR="000831CD" w:rsidRDefault="00385CE7" w:rsidP="00385CE7">
          <w:pPr>
            <w:pStyle w:val="8C34EA18E74C448AA50EF94A042268B32"/>
          </w:pPr>
          <w:r w:rsidRPr="00C17E0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F332D4AB3E4D85A66AF0E6D11A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199F-7D20-4B56-B5EA-8329D066D1C0}"/>
      </w:docPartPr>
      <w:docPartBody>
        <w:p w:rsidR="000831CD" w:rsidRDefault="00385CE7" w:rsidP="00385CE7">
          <w:pPr>
            <w:pStyle w:val="C8F332D4AB3E4D85A66AF0E6D11A20FE2"/>
          </w:pPr>
          <w:r w:rsidRPr="00C17E04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4B"/>
    <w:rsid w:val="000312EF"/>
    <w:rsid w:val="000831CD"/>
    <w:rsid w:val="001C4D6A"/>
    <w:rsid w:val="001F5AA1"/>
    <w:rsid w:val="002136D7"/>
    <w:rsid w:val="00274BB3"/>
    <w:rsid w:val="00365824"/>
    <w:rsid w:val="00385CE7"/>
    <w:rsid w:val="003A70FE"/>
    <w:rsid w:val="00460F68"/>
    <w:rsid w:val="004932BF"/>
    <w:rsid w:val="004F6411"/>
    <w:rsid w:val="0056506C"/>
    <w:rsid w:val="005C1391"/>
    <w:rsid w:val="005E4463"/>
    <w:rsid w:val="0060004B"/>
    <w:rsid w:val="0069422E"/>
    <w:rsid w:val="006A2744"/>
    <w:rsid w:val="006B12D2"/>
    <w:rsid w:val="006E48AD"/>
    <w:rsid w:val="00702B34"/>
    <w:rsid w:val="007A2B5B"/>
    <w:rsid w:val="007C7E95"/>
    <w:rsid w:val="007D7AE1"/>
    <w:rsid w:val="00922D7A"/>
    <w:rsid w:val="009C73D3"/>
    <w:rsid w:val="009D6C85"/>
    <w:rsid w:val="009D7485"/>
    <w:rsid w:val="00A14EA9"/>
    <w:rsid w:val="00A21F6A"/>
    <w:rsid w:val="00A9744B"/>
    <w:rsid w:val="00AC5265"/>
    <w:rsid w:val="00B569A8"/>
    <w:rsid w:val="00B73489"/>
    <w:rsid w:val="00C25BEB"/>
    <w:rsid w:val="00C3653A"/>
    <w:rsid w:val="00C66B7C"/>
    <w:rsid w:val="00D04DA0"/>
    <w:rsid w:val="00D22BDC"/>
    <w:rsid w:val="00D9564F"/>
    <w:rsid w:val="00DE7EDE"/>
    <w:rsid w:val="00E06DC4"/>
    <w:rsid w:val="00E44C40"/>
    <w:rsid w:val="00EA481E"/>
    <w:rsid w:val="00EF5875"/>
    <w:rsid w:val="00F513BE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CE7"/>
    <w:rPr>
      <w:color w:val="808080"/>
    </w:rPr>
  </w:style>
  <w:style w:type="paragraph" w:customStyle="1" w:styleId="444324CC13CA4AC6A90232108859EE58">
    <w:name w:val="444324CC13CA4AC6A90232108859EE58"/>
    <w:rsid w:val="00A9744B"/>
    <w:pPr>
      <w:spacing w:after="200" w:line="276" w:lineRule="auto"/>
    </w:pPr>
    <w:rPr>
      <w:rFonts w:eastAsiaTheme="minorHAnsi"/>
    </w:rPr>
  </w:style>
  <w:style w:type="paragraph" w:customStyle="1" w:styleId="EB9F024023E2493BB6B2130A137ED9BC">
    <w:name w:val="EB9F024023E2493BB6B2130A137ED9BC"/>
    <w:rsid w:val="00A9744B"/>
    <w:pPr>
      <w:spacing w:after="200" w:line="276" w:lineRule="auto"/>
    </w:pPr>
    <w:rPr>
      <w:rFonts w:eastAsiaTheme="minorHAnsi"/>
    </w:rPr>
  </w:style>
  <w:style w:type="paragraph" w:customStyle="1" w:styleId="444324CC13CA4AC6A90232108859EE581">
    <w:name w:val="444324CC13CA4AC6A90232108859EE581"/>
    <w:rsid w:val="002136D7"/>
    <w:pPr>
      <w:spacing w:after="200" w:line="276" w:lineRule="auto"/>
    </w:pPr>
    <w:rPr>
      <w:rFonts w:eastAsiaTheme="minorHAnsi"/>
    </w:rPr>
  </w:style>
  <w:style w:type="paragraph" w:customStyle="1" w:styleId="EB9F024023E2493BB6B2130A137ED9BC1">
    <w:name w:val="EB9F024023E2493BB6B2130A137ED9BC1"/>
    <w:rsid w:val="002136D7"/>
    <w:pPr>
      <w:spacing w:after="200" w:line="276" w:lineRule="auto"/>
    </w:pPr>
    <w:rPr>
      <w:rFonts w:eastAsiaTheme="minorHAnsi"/>
    </w:rPr>
  </w:style>
  <w:style w:type="paragraph" w:customStyle="1" w:styleId="A5A4ADBB37524AE09B1E461E04C17E27">
    <w:name w:val="A5A4ADBB37524AE09B1E461E04C17E27"/>
    <w:rsid w:val="002136D7"/>
    <w:pPr>
      <w:spacing w:after="200" w:line="276" w:lineRule="auto"/>
    </w:pPr>
    <w:rPr>
      <w:rFonts w:eastAsiaTheme="minorHAnsi"/>
    </w:rPr>
  </w:style>
  <w:style w:type="paragraph" w:customStyle="1" w:styleId="E0307B96D51F42AE95AB445BCB7862D9">
    <w:name w:val="E0307B96D51F42AE95AB445BCB7862D9"/>
    <w:rsid w:val="002136D7"/>
    <w:pPr>
      <w:spacing w:after="200" w:line="276" w:lineRule="auto"/>
    </w:pPr>
    <w:rPr>
      <w:rFonts w:eastAsiaTheme="minorHAnsi"/>
    </w:rPr>
  </w:style>
  <w:style w:type="paragraph" w:customStyle="1" w:styleId="0B5B8BC5E6CA4394B910A170B08F3C1B">
    <w:name w:val="0B5B8BC5E6CA4394B910A170B08F3C1B"/>
    <w:rsid w:val="002136D7"/>
    <w:pPr>
      <w:spacing w:after="200" w:line="276" w:lineRule="auto"/>
    </w:pPr>
    <w:rPr>
      <w:rFonts w:eastAsiaTheme="minorHAnsi"/>
    </w:rPr>
  </w:style>
  <w:style w:type="paragraph" w:customStyle="1" w:styleId="A174F95968704AED8FF75212715A458A">
    <w:name w:val="A174F95968704AED8FF75212715A458A"/>
    <w:rsid w:val="002136D7"/>
    <w:pPr>
      <w:spacing w:after="200" w:line="276" w:lineRule="auto"/>
    </w:pPr>
    <w:rPr>
      <w:rFonts w:eastAsiaTheme="minorHAnsi"/>
    </w:rPr>
  </w:style>
  <w:style w:type="paragraph" w:customStyle="1" w:styleId="444324CC13CA4AC6A90232108859EE582">
    <w:name w:val="444324CC13CA4AC6A90232108859EE582"/>
    <w:rsid w:val="001F5AA1"/>
    <w:pPr>
      <w:spacing w:after="200" w:line="276" w:lineRule="auto"/>
    </w:pPr>
    <w:rPr>
      <w:rFonts w:eastAsiaTheme="minorHAnsi"/>
    </w:rPr>
  </w:style>
  <w:style w:type="paragraph" w:customStyle="1" w:styleId="EB9F024023E2493BB6B2130A137ED9BC2">
    <w:name w:val="EB9F024023E2493BB6B2130A137ED9BC2"/>
    <w:rsid w:val="001F5AA1"/>
    <w:pPr>
      <w:spacing w:after="200" w:line="276" w:lineRule="auto"/>
    </w:pPr>
    <w:rPr>
      <w:rFonts w:eastAsiaTheme="minorHAnsi"/>
    </w:rPr>
  </w:style>
  <w:style w:type="paragraph" w:customStyle="1" w:styleId="A5A4ADBB37524AE09B1E461E04C17E271">
    <w:name w:val="A5A4ADBB37524AE09B1E461E04C17E271"/>
    <w:rsid w:val="001F5AA1"/>
    <w:pPr>
      <w:spacing w:after="200" w:line="276" w:lineRule="auto"/>
    </w:pPr>
    <w:rPr>
      <w:rFonts w:eastAsiaTheme="minorHAnsi"/>
    </w:rPr>
  </w:style>
  <w:style w:type="paragraph" w:customStyle="1" w:styleId="E0307B96D51F42AE95AB445BCB7862D91">
    <w:name w:val="E0307B96D51F42AE95AB445BCB7862D91"/>
    <w:rsid w:val="001F5AA1"/>
    <w:pPr>
      <w:spacing w:after="200" w:line="276" w:lineRule="auto"/>
    </w:pPr>
    <w:rPr>
      <w:rFonts w:eastAsiaTheme="minorHAnsi"/>
    </w:rPr>
  </w:style>
  <w:style w:type="paragraph" w:customStyle="1" w:styleId="0B5B8BC5E6CA4394B910A170B08F3C1B1">
    <w:name w:val="0B5B8BC5E6CA4394B910A170B08F3C1B1"/>
    <w:rsid w:val="001F5AA1"/>
    <w:pPr>
      <w:spacing w:after="200" w:line="276" w:lineRule="auto"/>
    </w:pPr>
    <w:rPr>
      <w:rFonts w:eastAsiaTheme="minorHAnsi"/>
    </w:rPr>
  </w:style>
  <w:style w:type="paragraph" w:customStyle="1" w:styleId="A174F95968704AED8FF75212715A458A1">
    <w:name w:val="A174F95968704AED8FF75212715A458A1"/>
    <w:rsid w:val="001F5AA1"/>
    <w:pPr>
      <w:spacing w:after="200" w:line="276" w:lineRule="auto"/>
    </w:pPr>
    <w:rPr>
      <w:rFonts w:eastAsiaTheme="minorHAnsi"/>
    </w:rPr>
  </w:style>
  <w:style w:type="paragraph" w:customStyle="1" w:styleId="EB9F024023E2493BB6B2130A137ED9BC3">
    <w:name w:val="EB9F024023E2493BB6B2130A137ED9BC3"/>
    <w:rsid w:val="001F5AA1"/>
    <w:pPr>
      <w:spacing w:after="200" w:line="276" w:lineRule="auto"/>
    </w:pPr>
    <w:rPr>
      <w:rFonts w:eastAsiaTheme="minorHAnsi"/>
    </w:rPr>
  </w:style>
  <w:style w:type="paragraph" w:customStyle="1" w:styleId="A5A4ADBB37524AE09B1E461E04C17E272">
    <w:name w:val="A5A4ADBB37524AE09B1E461E04C17E272"/>
    <w:rsid w:val="001F5AA1"/>
    <w:pPr>
      <w:spacing w:after="200" w:line="276" w:lineRule="auto"/>
    </w:pPr>
    <w:rPr>
      <w:rFonts w:eastAsiaTheme="minorHAnsi"/>
    </w:rPr>
  </w:style>
  <w:style w:type="paragraph" w:customStyle="1" w:styleId="0B5B8BC5E6CA4394B910A170B08F3C1B2">
    <w:name w:val="0B5B8BC5E6CA4394B910A170B08F3C1B2"/>
    <w:rsid w:val="001F5AA1"/>
    <w:pPr>
      <w:spacing w:after="200" w:line="276" w:lineRule="auto"/>
    </w:pPr>
    <w:rPr>
      <w:rFonts w:eastAsiaTheme="minorHAnsi"/>
    </w:rPr>
  </w:style>
  <w:style w:type="paragraph" w:customStyle="1" w:styleId="A174F95968704AED8FF75212715A458A2">
    <w:name w:val="A174F95968704AED8FF75212715A458A2"/>
    <w:rsid w:val="001F5AA1"/>
    <w:pPr>
      <w:spacing w:after="200" w:line="276" w:lineRule="auto"/>
    </w:pPr>
    <w:rPr>
      <w:rFonts w:eastAsiaTheme="minorHAnsi"/>
    </w:rPr>
  </w:style>
  <w:style w:type="paragraph" w:customStyle="1" w:styleId="EB9F024023E2493BB6B2130A137ED9BC4">
    <w:name w:val="EB9F024023E2493BB6B2130A137ED9BC4"/>
    <w:rsid w:val="001F5AA1"/>
    <w:pPr>
      <w:spacing w:after="200" w:line="276" w:lineRule="auto"/>
    </w:pPr>
    <w:rPr>
      <w:rFonts w:eastAsiaTheme="minorHAnsi"/>
    </w:rPr>
  </w:style>
  <w:style w:type="paragraph" w:customStyle="1" w:styleId="A5A4ADBB37524AE09B1E461E04C17E273">
    <w:name w:val="A5A4ADBB37524AE09B1E461E04C17E273"/>
    <w:rsid w:val="001F5AA1"/>
    <w:pPr>
      <w:spacing w:after="200" w:line="276" w:lineRule="auto"/>
    </w:pPr>
    <w:rPr>
      <w:rFonts w:eastAsiaTheme="minorHAnsi"/>
    </w:rPr>
  </w:style>
  <w:style w:type="paragraph" w:customStyle="1" w:styleId="89A5832A7C4F48A98BA7650FA417DD0F">
    <w:name w:val="89A5832A7C4F48A98BA7650FA417DD0F"/>
    <w:rsid w:val="001F5AA1"/>
  </w:style>
  <w:style w:type="paragraph" w:customStyle="1" w:styleId="EB9F024023E2493BB6B2130A137ED9BC5">
    <w:name w:val="EB9F024023E2493BB6B2130A137ED9BC5"/>
    <w:rsid w:val="007D7AE1"/>
    <w:pPr>
      <w:spacing w:after="200" w:line="276" w:lineRule="auto"/>
    </w:pPr>
    <w:rPr>
      <w:rFonts w:eastAsiaTheme="minorHAnsi"/>
    </w:rPr>
  </w:style>
  <w:style w:type="paragraph" w:customStyle="1" w:styleId="A5A4ADBB37524AE09B1E461E04C17E274">
    <w:name w:val="A5A4ADBB37524AE09B1E461E04C17E274"/>
    <w:rsid w:val="007D7AE1"/>
    <w:pPr>
      <w:spacing w:after="200" w:line="276" w:lineRule="auto"/>
    </w:pPr>
    <w:rPr>
      <w:rFonts w:eastAsiaTheme="minorHAnsi"/>
    </w:rPr>
  </w:style>
  <w:style w:type="paragraph" w:customStyle="1" w:styleId="EB9F024023E2493BB6B2130A137ED9BC6">
    <w:name w:val="EB9F024023E2493BB6B2130A137ED9BC6"/>
    <w:rsid w:val="007D7AE1"/>
    <w:pPr>
      <w:spacing w:after="200" w:line="276" w:lineRule="auto"/>
    </w:pPr>
    <w:rPr>
      <w:rFonts w:eastAsiaTheme="minorHAnsi"/>
    </w:rPr>
  </w:style>
  <w:style w:type="paragraph" w:customStyle="1" w:styleId="A5A4ADBB37524AE09B1E461E04C17E275">
    <w:name w:val="A5A4ADBB37524AE09B1E461E04C17E275"/>
    <w:rsid w:val="007D7AE1"/>
    <w:pPr>
      <w:spacing w:after="200" w:line="276" w:lineRule="auto"/>
    </w:pPr>
    <w:rPr>
      <w:rFonts w:eastAsiaTheme="minorHAnsi"/>
    </w:rPr>
  </w:style>
  <w:style w:type="paragraph" w:customStyle="1" w:styleId="EB9F024023E2493BB6B2130A137ED9BC7">
    <w:name w:val="EB9F024023E2493BB6B2130A137ED9BC7"/>
    <w:rsid w:val="00D22BDC"/>
    <w:pPr>
      <w:spacing w:after="200" w:line="276" w:lineRule="auto"/>
    </w:pPr>
    <w:rPr>
      <w:rFonts w:eastAsiaTheme="minorHAnsi"/>
    </w:rPr>
  </w:style>
  <w:style w:type="paragraph" w:customStyle="1" w:styleId="A5A4ADBB37524AE09B1E461E04C17E276">
    <w:name w:val="A5A4ADBB37524AE09B1E461E04C17E276"/>
    <w:rsid w:val="00D22BDC"/>
    <w:pPr>
      <w:spacing w:after="200" w:line="276" w:lineRule="auto"/>
    </w:pPr>
    <w:rPr>
      <w:rFonts w:eastAsiaTheme="minorHAnsi"/>
    </w:rPr>
  </w:style>
  <w:style w:type="paragraph" w:customStyle="1" w:styleId="EB9F024023E2493BB6B2130A137ED9BC8">
    <w:name w:val="EB9F024023E2493BB6B2130A137ED9BC8"/>
    <w:rsid w:val="00D22BDC"/>
    <w:pPr>
      <w:spacing w:after="200" w:line="276" w:lineRule="auto"/>
    </w:pPr>
    <w:rPr>
      <w:rFonts w:eastAsiaTheme="minorHAnsi"/>
    </w:rPr>
  </w:style>
  <w:style w:type="paragraph" w:customStyle="1" w:styleId="A5A4ADBB37524AE09B1E461E04C17E277">
    <w:name w:val="A5A4ADBB37524AE09B1E461E04C17E277"/>
    <w:rsid w:val="00D22BDC"/>
    <w:pPr>
      <w:spacing w:after="200" w:line="276" w:lineRule="auto"/>
    </w:pPr>
    <w:rPr>
      <w:rFonts w:eastAsiaTheme="minorHAnsi"/>
    </w:rPr>
  </w:style>
  <w:style w:type="paragraph" w:customStyle="1" w:styleId="EB9F024023E2493BB6B2130A137ED9BC9">
    <w:name w:val="EB9F024023E2493BB6B2130A137ED9BC9"/>
    <w:rsid w:val="00D22BDC"/>
    <w:pPr>
      <w:spacing w:after="200" w:line="276" w:lineRule="auto"/>
    </w:pPr>
    <w:rPr>
      <w:rFonts w:eastAsiaTheme="minorHAnsi"/>
    </w:rPr>
  </w:style>
  <w:style w:type="paragraph" w:customStyle="1" w:styleId="A5A4ADBB37524AE09B1E461E04C17E278">
    <w:name w:val="A5A4ADBB37524AE09B1E461E04C17E278"/>
    <w:rsid w:val="00D22BDC"/>
    <w:pPr>
      <w:spacing w:after="200" w:line="276" w:lineRule="auto"/>
    </w:pPr>
    <w:rPr>
      <w:rFonts w:eastAsiaTheme="minorHAnsi"/>
    </w:rPr>
  </w:style>
  <w:style w:type="paragraph" w:customStyle="1" w:styleId="89A5832A7C4F48A98BA7650FA417DD0F1">
    <w:name w:val="89A5832A7C4F48A98BA7650FA417DD0F1"/>
    <w:rsid w:val="00D22BDC"/>
    <w:pPr>
      <w:spacing w:after="200" w:line="276" w:lineRule="auto"/>
    </w:pPr>
    <w:rPr>
      <w:rFonts w:eastAsiaTheme="minorHAnsi"/>
    </w:rPr>
  </w:style>
  <w:style w:type="paragraph" w:customStyle="1" w:styleId="EB9F024023E2493BB6B2130A137ED9BC10">
    <w:name w:val="EB9F024023E2493BB6B2130A137ED9BC10"/>
    <w:rsid w:val="00D22BDC"/>
    <w:pPr>
      <w:spacing w:after="200" w:line="276" w:lineRule="auto"/>
    </w:pPr>
    <w:rPr>
      <w:rFonts w:eastAsiaTheme="minorHAnsi"/>
    </w:rPr>
  </w:style>
  <w:style w:type="paragraph" w:customStyle="1" w:styleId="A5A4ADBB37524AE09B1E461E04C17E279">
    <w:name w:val="A5A4ADBB37524AE09B1E461E04C17E279"/>
    <w:rsid w:val="00D22BDC"/>
    <w:pPr>
      <w:spacing w:after="200" w:line="276" w:lineRule="auto"/>
    </w:pPr>
    <w:rPr>
      <w:rFonts w:eastAsiaTheme="minorHAnsi"/>
    </w:rPr>
  </w:style>
  <w:style w:type="paragraph" w:customStyle="1" w:styleId="89A5832A7C4F48A98BA7650FA417DD0F2">
    <w:name w:val="89A5832A7C4F48A98BA7650FA417DD0F2"/>
    <w:rsid w:val="00D22BDC"/>
    <w:pPr>
      <w:spacing w:after="200" w:line="276" w:lineRule="auto"/>
    </w:pPr>
    <w:rPr>
      <w:rFonts w:eastAsiaTheme="minorHAnsi"/>
    </w:rPr>
  </w:style>
  <w:style w:type="paragraph" w:customStyle="1" w:styleId="EB9F024023E2493BB6B2130A137ED9BC11">
    <w:name w:val="EB9F024023E2493BB6B2130A137ED9BC11"/>
    <w:rsid w:val="004F6411"/>
    <w:pPr>
      <w:spacing w:after="200" w:line="276" w:lineRule="auto"/>
    </w:pPr>
    <w:rPr>
      <w:rFonts w:eastAsiaTheme="minorHAnsi"/>
    </w:rPr>
  </w:style>
  <w:style w:type="paragraph" w:customStyle="1" w:styleId="A5A4ADBB37524AE09B1E461E04C17E2710">
    <w:name w:val="A5A4ADBB37524AE09B1E461E04C17E2710"/>
    <w:rsid w:val="004F6411"/>
    <w:pPr>
      <w:spacing w:after="200" w:line="276" w:lineRule="auto"/>
    </w:pPr>
    <w:rPr>
      <w:rFonts w:eastAsiaTheme="minorHAnsi"/>
    </w:rPr>
  </w:style>
  <w:style w:type="paragraph" w:customStyle="1" w:styleId="89A5832A7C4F48A98BA7650FA417DD0F3">
    <w:name w:val="89A5832A7C4F48A98BA7650FA417DD0F3"/>
    <w:rsid w:val="004F6411"/>
    <w:pPr>
      <w:spacing w:after="200" w:line="276" w:lineRule="auto"/>
    </w:pPr>
    <w:rPr>
      <w:rFonts w:eastAsiaTheme="minorHAnsi"/>
    </w:rPr>
  </w:style>
  <w:style w:type="paragraph" w:customStyle="1" w:styleId="AEB86942D771488A8BA47DFB7FF23832">
    <w:name w:val="AEB86942D771488A8BA47DFB7FF23832"/>
    <w:rsid w:val="004F6411"/>
  </w:style>
  <w:style w:type="paragraph" w:customStyle="1" w:styleId="EB9F024023E2493BB6B2130A137ED9BC12">
    <w:name w:val="EB9F024023E2493BB6B2130A137ED9BC12"/>
    <w:rsid w:val="004F6411"/>
    <w:pPr>
      <w:spacing w:after="200" w:line="276" w:lineRule="auto"/>
    </w:pPr>
    <w:rPr>
      <w:rFonts w:eastAsiaTheme="minorHAnsi"/>
    </w:rPr>
  </w:style>
  <w:style w:type="paragraph" w:customStyle="1" w:styleId="A5A4ADBB37524AE09B1E461E04C17E2711">
    <w:name w:val="A5A4ADBB37524AE09B1E461E04C17E2711"/>
    <w:rsid w:val="004F6411"/>
    <w:pPr>
      <w:spacing w:after="200" w:line="276" w:lineRule="auto"/>
    </w:pPr>
    <w:rPr>
      <w:rFonts w:eastAsiaTheme="minorHAnsi"/>
    </w:rPr>
  </w:style>
  <w:style w:type="paragraph" w:customStyle="1" w:styleId="2BF08BA23B92421DBC6AF67ED1E378FE">
    <w:name w:val="2BF08BA23B92421DBC6AF67ED1E378FE"/>
    <w:rsid w:val="004F6411"/>
    <w:pPr>
      <w:spacing w:after="200" w:line="276" w:lineRule="auto"/>
    </w:pPr>
    <w:rPr>
      <w:rFonts w:eastAsiaTheme="minorHAnsi"/>
    </w:rPr>
  </w:style>
  <w:style w:type="paragraph" w:customStyle="1" w:styleId="89A5832A7C4F48A98BA7650FA417DD0F4">
    <w:name w:val="89A5832A7C4F48A98BA7650FA417DD0F4"/>
    <w:rsid w:val="004F6411"/>
    <w:pPr>
      <w:spacing w:after="200" w:line="276" w:lineRule="auto"/>
    </w:pPr>
    <w:rPr>
      <w:rFonts w:eastAsiaTheme="minorHAnsi"/>
    </w:rPr>
  </w:style>
  <w:style w:type="paragraph" w:customStyle="1" w:styleId="EB9F024023E2493BB6B2130A137ED9BC13">
    <w:name w:val="EB9F024023E2493BB6B2130A137ED9BC13"/>
    <w:rsid w:val="004F6411"/>
    <w:pPr>
      <w:spacing w:after="200" w:line="276" w:lineRule="auto"/>
    </w:pPr>
    <w:rPr>
      <w:rFonts w:eastAsiaTheme="minorHAnsi"/>
    </w:rPr>
  </w:style>
  <w:style w:type="paragraph" w:customStyle="1" w:styleId="A5A4ADBB37524AE09B1E461E04C17E2712">
    <w:name w:val="A5A4ADBB37524AE09B1E461E04C17E2712"/>
    <w:rsid w:val="004F6411"/>
    <w:pPr>
      <w:spacing w:after="200" w:line="276" w:lineRule="auto"/>
    </w:pPr>
    <w:rPr>
      <w:rFonts w:eastAsiaTheme="minorHAnsi"/>
    </w:rPr>
  </w:style>
  <w:style w:type="paragraph" w:customStyle="1" w:styleId="2BF08BA23B92421DBC6AF67ED1E378FE1">
    <w:name w:val="2BF08BA23B92421DBC6AF67ED1E378FE1"/>
    <w:rsid w:val="004F6411"/>
    <w:pPr>
      <w:spacing w:after="200" w:line="276" w:lineRule="auto"/>
    </w:pPr>
    <w:rPr>
      <w:rFonts w:eastAsiaTheme="minorHAnsi"/>
    </w:rPr>
  </w:style>
  <w:style w:type="paragraph" w:customStyle="1" w:styleId="89A5832A7C4F48A98BA7650FA417DD0F5">
    <w:name w:val="89A5832A7C4F48A98BA7650FA417DD0F5"/>
    <w:rsid w:val="004F6411"/>
    <w:pPr>
      <w:spacing w:after="200" w:line="276" w:lineRule="auto"/>
    </w:pPr>
    <w:rPr>
      <w:rFonts w:eastAsiaTheme="minorHAnsi"/>
    </w:rPr>
  </w:style>
  <w:style w:type="paragraph" w:customStyle="1" w:styleId="EB9F024023E2493BB6B2130A137ED9BC14">
    <w:name w:val="EB9F024023E2493BB6B2130A137ED9BC14"/>
    <w:rsid w:val="004F6411"/>
    <w:pPr>
      <w:spacing w:after="200" w:line="276" w:lineRule="auto"/>
    </w:pPr>
    <w:rPr>
      <w:rFonts w:eastAsiaTheme="minorHAnsi"/>
    </w:rPr>
  </w:style>
  <w:style w:type="paragraph" w:customStyle="1" w:styleId="A5A4ADBB37524AE09B1E461E04C17E2713">
    <w:name w:val="A5A4ADBB37524AE09B1E461E04C17E2713"/>
    <w:rsid w:val="004F6411"/>
    <w:pPr>
      <w:spacing w:after="200" w:line="276" w:lineRule="auto"/>
    </w:pPr>
    <w:rPr>
      <w:rFonts w:eastAsiaTheme="minorHAnsi"/>
    </w:rPr>
  </w:style>
  <w:style w:type="paragraph" w:customStyle="1" w:styleId="2BF08BA23B92421DBC6AF67ED1E378FE2">
    <w:name w:val="2BF08BA23B92421DBC6AF67ED1E378FE2"/>
    <w:rsid w:val="004F6411"/>
    <w:pPr>
      <w:spacing w:after="200" w:line="276" w:lineRule="auto"/>
    </w:pPr>
    <w:rPr>
      <w:rFonts w:eastAsiaTheme="minorHAnsi"/>
    </w:rPr>
  </w:style>
  <w:style w:type="paragraph" w:customStyle="1" w:styleId="89A5832A7C4F48A98BA7650FA417DD0F6">
    <w:name w:val="89A5832A7C4F48A98BA7650FA417DD0F6"/>
    <w:rsid w:val="004F6411"/>
    <w:pPr>
      <w:spacing w:after="200" w:line="276" w:lineRule="auto"/>
    </w:pPr>
    <w:rPr>
      <w:rFonts w:eastAsiaTheme="minorHAnsi"/>
    </w:rPr>
  </w:style>
  <w:style w:type="paragraph" w:customStyle="1" w:styleId="EB9F024023E2493BB6B2130A137ED9BC15">
    <w:name w:val="EB9F024023E2493BB6B2130A137ED9BC15"/>
    <w:rsid w:val="004F6411"/>
    <w:pPr>
      <w:spacing w:after="200" w:line="276" w:lineRule="auto"/>
    </w:pPr>
    <w:rPr>
      <w:rFonts w:eastAsiaTheme="minorHAnsi"/>
    </w:rPr>
  </w:style>
  <w:style w:type="paragraph" w:customStyle="1" w:styleId="A5A4ADBB37524AE09B1E461E04C17E2714">
    <w:name w:val="A5A4ADBB37524AE09B1E461E04C17E2714"/>
    <w:rsid w:val="004F6411"/>
    <w:pPr>
      <w:spacing w:after="200" w:line="276" w:lineRule="auto"/>
    </w:pPr>
    <w:rPr>
      <w:rFonts w:eastAsiaTheme="minorHAnsi"/>
    </w:rPr>
  </w:style>
  <w:style w:type="paragraph" w:customStyle="1" w:styleId="89A5832A7C4F48A98BA7650FA417DD0F7">
    <w:name w:val="89A5832A7C4F48A98BA7650FA417DD0F7"/>
    <w:rsid w:val="004F6411"/>
    <w:pPr>
      <w:spacing w:after="200" w:line="276" w:lineRule="auto"/>
    </w:pPr>
    <w:rPr>
      <w:rFonts w:eastAsiaTheme="minorHAnsi"/>
    </w:rPr>
  </w:style>
  <w:style w:type="paragraph" w:customStyle="1" w:styleId="EB9F024023E2493BB6B2130A137ED9BC16">
    <w:name w:val="EB9F024023E2493BB6B2130A137ED9BC16"/>
    <w:rsid w:val="00E44C40"/>
    <w:pPr>
      <w:spacing w:after="200" w:line="276" w:lineRule="auto"/>
    </w:pPr>
    <w:rPr>
      <w:rFonts w:eastAsiaTheme="minorHAnsi"/>
    </w:rPr>
  </w:style>
  <w:style w:type="paragraph" w:customStyle="1" w:styleId="A5A4ADBB37524AE09B1E461E04C17E2715">
    <w:name w:val="A5A4ADBB37524AE09B1E461E04C17E2715"/>
    <w:rsid w:val="00E44C40"/>
    <w:pPr>
      <w:spacing w:after="200" w:line="276" w:lineRule="auto"/>
    </w:pPr>
    <w:rPr>
      <w:rFonts w:eastAsiaTheme="minorHAnsi"/>
    </w:rPr>
  </w:style>
  <w:style w:type="paragraph" w:customStyle="1" w:styleId="89A5832A7C4F48A98BA7650FA417DD0F8">
    <w:name w:val="89A5832A7C4F48A98BA7650FA417DD0F8"/>
    <w:rsid w:val="00E44C40"/>
    <w:pPr>
      <w:spacing w:after="200" w:line="276" w:lineRule="auto"/>
    </w:pPr>
    <w:rPr>
      <w:rFonts w:eastAsiaTheme="minorHAnsi"/>
    </w:rPr>
  </w:style>
  <w:style w:type="paragraph" w:customStyle="1" w:styleId="EB9F024023E2493BB6B2130A137ED9BC17">
    <w:name w:val="EB9F024023E2493BB6B2130A137ED9BC17"/>
    <w:rsid w:val="00AC5265"/>
    <w:pPr>
      <w:spacing w:after="200" w:line="276" w:lineRule="auto"/>
    </w:pPr>
    <w:rPr>
      <w:rFonts w:eastAsiaTheme="minorHAnsi"/>
    </w:rPr>
  </w:style>
  <w:style w:type="paragraph" w:customStyle="1" w:styleId="A5A4ADBB37524AE09B1E461E04C17E2716">
    <w:name w:val="A5A4ADBB37524AE09B1E461E04C17E2716"/>
    <w:rsid w:val="00AC5265"/>
    <w:pPr>
      <w:spacing w:after="200" w:line="276" w:lineRule="auto"/>
    </w:pPr>
    <w:rPr>
      <w:rFonts w:eastAsiaTheme="minorHAnsi"/>
    </w:rPr>
  </w:style>
  <w:style w:type="paragraph" w:customStyle="1" w:styleId="89A5832A7C4F48A98BA7650FA417DD0F9">
    <w:name w:val="89A5832A7C4F48A98BA7650FA417DD0F9"/>
    <w:rsid w:val="00AC5265"/>
    <w:pPr>
      <w:spacing w:after="200" w:line="276" w:lineRule="auto"/>
    </w:pPr>
    <w:rPr>
      <w:rFonts w:eastAsiaTheme="minorHAnsi"/>
    </w:rPr>
  </w:style>
  <w:style w:type="paragraph" w:customStyle="1" w:styleId="E9C4D328EC434A9C80A86F8356AA250C">
    <w:name w:val="E9C4D328EC434A9C80A86F8356AA250C"/>
    <w:rsid w:val="00AC5265"/>
    <w:pPr>
      <w:spacing w:after="200" w:line="276" w:lineRule="auto"/>
    </w:pPr>
    <w:rPr>
      <w:rFonts w:eastAsiaTheme="minorHAnsi"/>
    </w:rPr>
  </w:style>
  <w:style w:type="paragraph" w:customStyle="1" w:styleId="CBA88059D86B4C15B71F26BCF22B2997">
    <w:name w:val="CBA88059D86B4C15B71F26BCF22B2997"/>
    <w:rsid w:val="00AC5265"/>
    <w:pPr>
      <w:spacing w:after="200" w:line="276" w:lineRule="auto"/>
    </w:pPr>
    <w:rPr>
      <w:rFonts w:eastAsiaTheme="minorHAnsi"/>
    </w:rPr>
  </w:style>
  <w:style w:type="paragraph" w:customStyle="1" w:styleId="EB9F024023E2493BB6B2130A137ED9BC18">
    <w:name w:val="EB9F024023E2493BB6B2130A137ED9BC18"/>
    <w:rsid w:val="00702B34"/>
    <w:pPr>
      <w:spacing w:after="200" w:line="276" w:lineRule="auto"/>
    </w:pPr>
    <w:rPr>
      <w:rFonts w:eastAsiaTheme="minorHAnsi"/>
    </w:rPr>
  </w:style>
  <w:style w:type="paragraph" w:customStyle="1" w:styleId="A5A4ADBB37524AE09B1E461E04C17E2717">
    <w:name w:val="A5A4ADBB37524AE09B1E461E04C17E2717"/>
    <w:rsid w:val="00702B34"/>
    <w:pPr>
      <w:spacing w:after="200" w:line="276" w:lineRule="auto"/>
    </w:pPr>
    <w:rPr>
      <w:rFonts w:eastAsiaTheme="minorHAnsi"/>
    </w:rPr>
  </w:style>
  <w:style w:type="paragraph" w:customStyle="1" w:styleId="89A5832A7C4F48A98BA7650FA417DD0F10">
    <w:name w:val="89A5832A7C4F48A98BA7650FA417DD0F10"/>
    <w:rsid w:val="00702B34"/>
    <w:pPr>
      <w:spacing w:after="200" w:line="276" w:lineRule="auto"/>
    </w:pPr>
    <w:rPr>
      <w:rFonts w:eastAsiaTheme="minorHAnsi"/>
    </w:rPr>
  </w:style>
  <w:style w:type="paragraph" w:customStyle="1" w:styleId="E9C4D328EC434A9C80A86F8356AA250C1">
    <w:name w:val="E9C4D328EC434A9C80A86F8356AA250C1"/>
    <w:rsid w:val="00702B34"/>
    <w:pPr>
      <w:spacing w:after="200" w:line="276" w:lineRule="auto"/>
    </w:pPr>
    <w:rPr>
      <w:rFonts w:eastAsiaTheme="minorHAnsi"/>
    </w:rPr>
  </w:style>
  <w:style w:type="paragraph" w:customStyle="1" w:styleId="CBA88059D86B4C15B71F26BCF22B29971">
    <w:name w:val="CBA88059D86B4C15B71F26BCF22B29971"/>
    <w:rsid w:val="00702B34"/>
    <w:pPr>
      <w:spacing w:after="200" w:line="276" w:lineRule="auto"/>
    </w:pPr>
    <w:rPr>
      <w:rFonts w:eastAsiaTheme="minorHAnsi"/>
    </w:rPr>
  </w:style>
  <w:style w:type="paragraph" w:customStyle="1" w:styleId="EF2386AB3FD94BF5A2F142EAAE9CB92D">
    <w:name w:val="EF2386AB3FD94BF5A2F142EAAE9CB92D"/>
    <w:rsid w:val="00702B34"/>
    <w:pPr>
      <w:spacing w:after="200" w:line="276" w:lineRule="auto"/>
    </w:pPr>
    <w:rPr>
      <w:rFonts w:eastAsiaTheme="minorHAnsi"/>
    </w:rPr>
  </w:style>
  <w:style w:type="paragraph" w:customStyle="1" w:styleId="EB9F024023E2493BB6B2130A137ED9BC19">
    <w:name w:val="EB9F024023E2493BB6B2130A137ED9BC19"/>
    <w:rsid w:val="00C25BEB"/>
    <w:pPr>
      <w:spacing w:after="200" w:line="276" w:lineRule="auto"/>
    </w:pPr>
    <w:rPr>
      <w:rFonts w:eastAsiaTheme="minorHAnsi"/>
    </w:rPr>
  </w:style>
  <w:style w:type="paragraph" w:customStyle="1" w:styleId="A5A4ADBB37524AE09B1E461E04C17E2718">
    <w:name w:val="A5A4ADBB37524AE09B1E461E04C17E2718"/>
    <w:rsid w:val="00C25BEB"/>
    <w:pPr>
      <w:spacing w:after="200" w:line="276" w:lineRule="auto"/>
    </w:pPr>
    <w:rPr>
      <w:rFonts w:eastAsiaTheme="minorHAnsi"/>
    </w:rPr>
  </w:style>
  <w:style w:type="paragraph" w:customStyle="1" w:styleId="89A5832A7C4F48A98BA7650FA417DD0F11">
    <w:name w:val="89A5832A7C4F48A98BA7650FA417DD0F11"/>
    <w:rsid w:val="00C25BEB"/>
    <w:pPr>
      <w:spacing w:after="200" w:line="276" w:lineRule="auto"/>
    </w:pPr>
    <w:rPr>
      <w:rFonts w:eastAsiaTheme="minorHAnsi"/>
    </w:rPr>
  </w:style>
  <w:style w:type="paragraph" w:customStyle="1" w:styleId="E9C4D328EC434A9C80A86F8356AA250C2">
    <w:name w:val="E9C4D328EC434A9C80A86F8356AA250C2"/>
    <w:rsid w:val="00C25BEB"/>
    <w:pPr>
      <w:spacing w:after="200" w:line="276" w:lineRule="auto"/>
    </w:pPr>
    <w:rPr>
      <w:rFonts w:eastAsiaTheme="minorHAnsi"/>
    </w:rPr>
  </w:style>
  <w:style w:type="paragraph" w:customStyle="1" w:styleId="CBA88059D86B4C15B71F26BCF22B29972">
    <w:name w:val="CBA88059D86B4C15B71F26BCF22B29972"/>
    <w:rsid w:val="00C25BEB"/>
    <w:pPr>
      <w:spacing w:after="200" w:line="276" w:lineRule="auto"/>
    </w:pPr>
    <w:rPr>
      <w:rFonts w:eastAsiaTheme="minorHAnsi"/>
    </w:rPr>
  </w:style>
  <w:style w:type="paragraph" w:customStyle="1" w:styleId="CAF414CA463B445698680B94315313E1">
    <w:name w:val="CAF414CA463B445698680B94315313E1"/>
    <w:rsid w:val="00C25BEB"/>
    <w:pPr>
      <w:spacing w:after="200" w:line="276" w:lineRule="auto"/>
    </w:pPr>
    <w:rPr>
      <w:rFonts w:eastAsiaTheme="minorHAnsi"/>
    </w:rPr>
  </w:style>
  <w:style w:type="paragraph" w:customStyle="1" w:styleId="EF2386AB3FD94BF5A2F142EAAE9CB92D1">
    <w:name w:val="EF2386AB3FD94BF5A2F142EAAE9CB92D1"/>
    <w:rsid w:val="00C25BEB"/>
    <w:pPr>
      <w:spacing w:after="200" w:line="276" w:lineRule="auto"/>
    </w:pPr>
    <w:rPr>
      <w:rFonts w:eastAsiaTheme="minorHAnsi"/>
    </w:rPr>
  </w:style>
  <w:style w:type="paragraph" w:customStyle="1" w:styleId="FE366CF63CD541A8A4541D852C504C62">
    <w:name w:val="FE366CF63CD541A8A4541D852C504C62"/>
    <w:rsid w:val="00C25BEB"/>
    <w:pPr>
      <w:spacing w:after="200" w:line="276" w:lineRule="auto"/>
    </w:pPr>
    <w:rPr>
      <w:rFonts w:eastAsiaTheme="minorHAnsi"/>
    </w:rPr>
  </w:style>
  <w:style w:type="paragraph" w:customStyle="1" w:styleId="EB9F024023E2493BB6B2130A137ED9BC20">
    <w:name w:val="EB9F024023E2493BB6B2130A137ED9BC20"/>
    <w:rsid w:val="005C1391"/>
    <w:pPr>
      <w:spacing w:after="200" w:line="276" w:lineRule="auto"/>
    </w:pPr>
    <w:rPr>
      <w:rFonts w:eastAsiaTheme="minorHAnsi"/>
    </w:rPr>
  </w:style>
  <w:style w:type="paragraph" w:customStyle="1" w:styleId="A5A4ADBB37524AE09B1E461E04C17E2719">
    <w:name w:val="A5A4ADBB37524AE09B1E461E04C17E2719"/>
    <w:rsid w:val="005C1391"/>
    <w:pPr>
      <w:spacing w:after="200" w:line="276" w:lineRule="auto"/>
    </w:pPr>
    <w:rPr>
      <w:rFonts w:eastAsiaTheme="minorHAnsi"/>
    </w:rPr>
  </w:style>
  <w:style w:type="paragraph" w:customStyle="1" w:styleId="EB9F024023E2493BB6B2130A137ED9BC21">
    <w:name w:val="EB9F024023E2493BB6B2130A137ED9BC21"/>
    <w:rsid w:val="007A2B5B"/>
    <w:pPr>
      <w:spacing w:after="200" w:line="276" w:lineRule="auto"/>
    </w:pPr>
    <w:rPr>
      <w:rFonts w:eastAsiaTheme="minorHAnsi"/>
    </w:rPr>
  </w:style>
  <w:style w:type="paragraph" w:customStyle="1" w:styleId="A5A4ADBB37524AE09B1E461E04C17E2720">
    <w:name w:val="A5A4ADBB37524AE09B1E461E04C17E2720"/>
    <w:rsid w:val="007A2B5B"/>
    <w:pPr>
      <w:spacing w:after="200" w:line="276" w:lineRule="auto"/>
    </w:pPr>
    <w:rPr>
      <w:rFonts w:eastAsiaTheme="minorHAnsi"/>
    </w:rPr>
  </w:style>
  <w:style w:type="paragraph" w:customStyle="1" w:styleId="89A5832A7C4F48A98BA7650FA417DD0F12">
    <w:name w:val="89A5832A7C4F48A98BA7650FA417DD0F12"/>
    <w:rsid w:val="006A2744"/>
    <w:pPr>
      <w:spacing w:after="200" w:line="276" w:lineRule="auto"/>
    </w:pPr>
    <w:rPr>
      <w:rFonts w:eastAsiaTheme="minorHAnsi"/>
    </w:rPr>
  </w:style>
  <w:style w:type="paragraph" w:customStyle="1" w:styleId="E9C4D328EC434A9C80A86F8356AA250C3">
    <w:name w:val="E9C4D328EC434A9C80A86F8356AA250C3"/>
    <w:rsid w:val="006A2744"/>
    <w:pPr>
      <w:spacing w:after="200" w:line="276" w:lineRule="auto"/>
    </w:pPr>
    <w:rPr>
      <w:rFonts w:eastAsiaTheme="minorHAnsi"/>
    </w:rPr>
  </w:style>
  <w:style w:type="paragraph" w:customStyle="1" w:styleId="EF2386AB3FD94BF5A2F142EAAE9CB92D2">
    <w:name w:val="EF2386AB3FD94BF5A2F142EAAE9CB92D2"/>
    <w:rsid w:val="006A2744"/>
    <w:pPr>
      <w:spacing w:after="200" w:line="276" w:lineRule="auto"/>
    </w:pPr>
    <w:rPr>
      <w:rFonts w:eastAsiaTheme="minorHAnsi"/>
    </w:rPr>
  </w:style>
  <w:style w:type="paragraph" w:customStyle="1" w:styleId="FE366CF63CD541A8A4541D852C504C621">
    <w:name w:val="FE366CF63CD541A8A4541D852C504C621"/>
    <w:rsid w:val="006A2744"/>
    <w:pPr>
      <w:spacing w:after="200" w:line="276" w:lineRule="auto"/>
    </w:pPr>
    <w:rPr>
      <w:rFonts w:eastAsiaTheme="minorHAnsi"/>
    </w:rPr>
  </w:style>
  <w:style w:type="paragraph" w:customStyle="1" w:styleId="89A5832A7C4F48A98BA7650FA417DD0F13">
    <w:name w:val="89A5832A7C4F48A98BA7650FA417DD0F13"/>
    <w:rsid w:val="006A2744"/>
    <w:pPr>
      <w:spacing w:after="200" w:line="276" w:lineRule="auto"/>
    </w:pPr>
    <w:rPr>
      <w:rFonts w:eastAsiaTheme="minorHAnsi"/>
    </w:rPr>
  </w:style>
  <w:style w:type="paragraph" w:customStyle="1" w:styleId="E9C4D328EC434A9C80A86F8356AA250C4">
    <w:name w:val="E9C4D328EC434A9C80A86F8356AA250C4"/>
    <w:rsid w:val="006A2744"/>
    <w:pPr>
      <w:spacing w:after="200" w:line="276" w:lineRule="auto"/>
    </w:pPr>
    <w:rPr>
      <w:rFonts w:eastAsiaTheme="minorHAnsi"/>
    </w:rPr>
  </w:style>
  <w:style w:type="paragraph" w:customStyle="1" w:styleId="EF2386AB3FD94BF5A2F142EAAE9CB92D3">
    <w:name w:val="EF2386AB3FD94BF5A2F142EAAE9CB92D3"/>
    <w:rsid w:val="006A2744"/>
    <w:pPr>
      <w:spacing w:after="200" w:line="276" w:lineRule="auto"/>
    </w:pPr>
    <w:rPr>
      <w:rFonts w:eastAsiaTheme="minorHAnsi"/>
    </w:rPr>
  </w:style>
  <w:style w:type="paragraph" w:customStyle="1" w:styleId="FE366CF63CD541A8A4541D852C504C622">
    <w:name w:val="FE366CF63CD541A8A4541D852C504C622"/>
    <w:rsid w:val="006A2744"/>
    <w:pPr>
      <w:spacing w:after="200" w:line="276" w:lineRule="auto"/>
    </w:pPr>
    <w:rPr>
      <w:rFonts w:eastAsiaTheme="minorHAnsi"/>
    </w:rPr>
  </w:style>
  <w:style w:type="paragraph" w:customStyle="1" w:styleId="89A5832A7C4F48A98BA7650FA417DD0F14">
    <w:name w:val="89A5832A7C4F48A98BA7650FA417DD0F14"/>
    <w:rsid w:val="006A2744"/>
    <w:pPr>
      <w:spacing w:after="200" w:line="276" w:lineRule="auto"/>
    </w:pPr>
    <w:rPr>
      <w:rFonts w:eastAsiaTheme="minorHAnsi"/>
    </w:rPr>
  </w:style>
  <w:style w:type="paragraph" w:customStyle="1" w:styleId="E9C4D328EC434A9C80A86F8356AA250C5">
    <w:name w:val="E9C4D328EC434A9C80A86F8356AA250C5"/>
    <w:rsid w:val="006A2744"/>
    <w:pPr>
      <w:spacing w:after="200" w:line="276" w:lineRule="auto"/>
    </w:pPr>
    <w:rPr>
      <w:rFonts w:eastAsiaTheme="minorHAnsi"/>
    </w:rPr>
  </w:style>
  <w:style w:type="paragraph" w:customStyle="1" w:styleId="EF2386AB3FD94BF5A2F142EAAE9CB92D4">
    <w:name w:val="EF2386AB3FD94BF5A2F142EAAE9CB92D4"/>
    <w:rsid w:val="006A2744"/>
    <w:pPr>
      <w:spacing w:after="200" w:line="276" w:lineRule="auto"/>
    </w:pPr>
    <w:rPr>
      <w:rFonts w:eastAsiaTheme="minorHAnsi"/>
    </w:rPr>
  </w:style>
  <w:style w:type="paragraph" w:customStyle="1" w:styleId="FE366CF63CD541A8A4541D852C504C623">
    <w:name w:val="FE366CF63CD541A8A4541D852C504C623"/>
    <w:rsid w:val="006A2744"/>
    <w:pPr>
      <w:spacing w:after="200" w:line="276" w:lineRule="auto"/>
    </w:pPr>
    <w:rPr>
      <w:rFonts w:eastAsiaTheme="minorHAnsi"/>
    </w:rPr>
  </w:style>
  <w:style w:type="paragraph" w:customStyle="1" w:styleId="89A5832A7C4F48A98BA7650FA417DD0F15">
    <w:name w:val="89A5832A7C4F48A98BA7650FA417DD0F15"/>
    <w:rsid w:val="006A2744"/>
    <w:pPr>
      <w:spacing w:after="200" w:line="276" w:lineRule="auto"/>
    </w:pPr>
    <w:rPr>
      <w:rFonts w:eastAsiaTheme="minorHAnsi"/>
    </w:rPr>
  </w:style>
  <w:style w:type="paragraph" w:customStyle="1" w:styleId="E9C4D328EC434A9C80A86F8356AA250C6">
    <w:name w:val="E9C4D328EC434A9C80A86F8356AA250C6"/>
    <w:rsid w:val="006A2744"/>
    <w:pPr>
      <w:spacing w:after="200" w:line="276" w:lineRule="auto"/>
    </w:pPr>
    <w:rPr>
      <w:rFonts w:eastAsiaTheme="minorHAnsi"/>
    </w:rPr>
  </w:style>
  <w:style w:type="paragraph" w:customStyle="1" w:styleId="EF2386AB3FD94BF5A2F142EAAE9CB92D5">
    <w:name w:val="EF2386AB3FD94BF5A2F142EAAE9CB92D5"/>
    <w:rsid w:val="006A2744"/>
    <w:pPr>
      <w:spacing w:after="200" w:line="276" w:lineRule="auto"/>
    </w:pPr>
    <w:rPr>
      <w:rFonts w:eastAsiaTheme="minorHAnsi"/>
    </w:rPr>
  </w:style>
  <w:style w:type="paragraph" w:customStyle="1" w:styleId="FE366CF63CD541A8A4541D852C504C624">
    <w:name w:val="FE366CF63CD541A8A4541D852C504C624"/>
    <w:rsid w:val="006A2744"/>
    <w:pPr>
      <w:spacing w:after="200" w:line="276" w:lineRule="auto"/>
    </w:pPr>
    <w:rPr>
      <w:rFonts w:eastAsiaTheme="minorHAnsi"/>
    </w:rPr>
  </w:style>
  <w:style w:type="paragraph" w:customStyle="1" w:styleId="613920DBD3E040A1842682D9B2229109">
    <w:name w:val="613920DBD3E040A1842682D9B2229109"/>
    <w:rsid w:val="00D04DA0"/>
  </w:style>
  <w:style w:type="paragraph" w:customStyle="1" w:styleId="89A5832A7C4F48A98BA7650FA417DD0F16">
    <w:name w:val="89A5832A7C4F48A98BA7650FA417DD0F16"/>
    <w:rsid w:val="00D04DA0"/>
    <w:pPr>
      <w:spacing w:after="200" w:line="276" w:lineRule="auto"/>
    </w:pPr>
    <w:rPr>
      <w:rFonts w:eastAsiaTheme="minorHAnsi"/>
    </w:rPr>
  </w:style>
  <w:style w:type="paragraph" w:customStyle="1" w:styleId="E9C4D328EC434A9C80A86F8356AA250C7">
    <w:name w:val="E9C4D328EC434A9C80A86F8356AA250C7"/>
    <w:rsid w:val="00D04DA0"/>
    <w:pPr>
      <w:spacing w:after="200" w:line="276" w:lineRule="auto"/>
    </w:pPr>
    <w:rPr>
      <w:rFonts w:eastAsiaTheme="minorHAnsi"/>
    </w:rPr>
  </w:style>
  <w:style w:type="paragraph" w:customStyle="1" w:styleId="EF2386AB3FD94BF5A2F142EAAE9CB92D6">
    <w:name w:val="EF2386AB3FD94BF5A2F142EAAE9CB92D6"/>
    <w:rsid w:val="00D04DA0"/>
    <w:pPr>
      <w:spacing w:after="200" w:line="276" w:lineRule="auto"/>
    </w:pPr>
    <w:rPr>
      <w:rFonts w:eastAsiaTheme="minorHAnsi"/>
    </w:rPr>
  </w:style>
  <w:style w:type="paragraph" w:customStyle="1" w:styleId="FE366CF63CD541A8A4541D852C504C625">
    <w:name w:val="FE366CF63CD541A8A4541D852C504C625"/>
    <w:rsid w:val="00D04DA0"/>
    <w:pPr>
      <w:spacing w:after="200" w:line="276" w:lineRule="auto"/>
    </w:pPr>
    <w:rPr>
      <w:rFonts w:eastAsiaTheme="minorHAnsi"/>
    </w:rPr>
  </w:style>
  <w:style w:type="paragraph" w:customStyle="1" w:styleId="DefaultPlaceholder1082065158">
    <w:name w:val="DefaultPlaceholder_1082065158"/>
    <w:rsid w:val="00D04DA0"/>
    <w:pPr>
      <w:spacing w:after="200" w:line="276" w:lineRule="auto"/>
    </w:pPr>
    <w:rPr>
      <w:rFonts w:eastAsiaTheme="minorHAnsi"/>
    </w:rPr>
  </w:style>
  <w:style w:type="paragraph" w:customStyle="1" w:styleId="89A5832A7C4F48A98BA7650FA417DD0F17">
    <w:name w:val="89A5832A7C4F48A98BA7650FA417DD0F17"/>
    <w:rsid w:val="00D04DA0"/>
    <w:pPr>
      <w:spacing w:after="200" w:line="276" w:lineRule="auto"/>
    </w:pPr>
    <w:rPr>
      <w:rFonts w:eastAsiaTheme="minorHAnsi"/>
    </w:rPr>
  </w:style>
  <w:style w:type="paragraph" w:customStyle="1" w:styleId="E9C4D328EC434A9C80A86F8356AA250C8">
    <w:name w:val="E9C4D328EC434A9C80A86F8356AA250C8"/>
    <w:rsid w:val="00D04DA0"/>
    <w:pPr>
      <w:spacing w:after="200" w:line="276" w:lineRule="auto"/>
    </w:pPr>
    <w:rPr>
      <w:rFonts w:eastAsiaTheme="minorHAnsi"/>
    </w:rPr>
  </w:style>
  <w:style w:type="paragraph" w:customStyle="1" w:styleId="EF2386AB3FD94BF5A2F142EAAE9CB92D7">
    <w:name w:val="EF2386AB3FD94BF5A2F142EAAE9CB92D7"/>
    <w:rsid w:val="00D04DA0"/>
    <w:pPr>
      <w:spacing w:after="200" w:line="276" w:lineRule="auto"/>
    </w:pPr>
    <w:rPr>
      <w:rFonts w:eastAsiaTheme="minorHAnsi"/>
    </w:rPr>
  </w:style>
  <w:style w:type="paragraph" w:customStyle="1" w:styleId="FE366CF63CD541A8A4541D852C504C626">
    <w:name w:val="FE366CF63CD541A8A4541D852C504C626"/>
    <w:rsid w:val="00D04DA0"/>
    <w:pPr>
      <w:spacing w:after="200" w:line="276" w:lineRule="auto"/>
    </w:pPr>
    <w:rPr>
      <w:rFonts w:eastAsiaTheme="minorHAnsi"/>
    </w:rPr>
  </w:style>
  <w:style w:type="paragraph" w:customStyle="1" w:styleId="C4AEB1D36E6E41499F923E0D2F57B383">
    <w:name w:val="C4AEB1D36E6E41499F923E0D2F57B383"/>
    <w:rsid w:val="005E4463"/>
    <w:pPr>
      <w:spacing w:after="200" w:line="276" w:lineRule="auto"/>
    </w:pPr>
    <w:rPr>
      <w:rFonts w:eastAsiaTheme="minorHAnsi"/>
    </w:rPr>
  </w:style>
  <w:style w:type="paragraph" w:customStyle="1" w:styleId="49E8F51353144D28ACB48E852CBD5A1C">
    <w:name w:val="49E8F51353144D28ACB48E852CBD5A1C"/>
    <w:rsid w:val="005E4463"/>
    <w:pPr>
      <w:spacing w:after="200" w:line="276" w:lineRule="auto"/>
    </w:pPr>
    <w:rPr>
      <w:rFonts w:eastAsiaTheme="minorHAnsi"/>
    </w:rPr>
  </w:style>
  <w:style w:type="paragraph" w:customStyle="1" w:styleId="182AC283FB7242D982FEBC37F5905E2B">
    <w:name w:val="182AC283FB7242D982FEBC37F5905E2B"/>
    <w:rsid w:val="005E4463"/>
    <w:pPr>
      <w:spacing w:after="200" w:line="276" w:lineRule="auto"/>
    </w:pPr>
    <w:rPr>
      <w:rFonts w:eastAsiaTheme="minorHAnsi"/>
    </w:rPr>
  </w:style>
  <w:style w:type="paragraph" w:customStyle="1" w:styleId="89A5832A7C4F48A98BA7650FA417DD0F18">
    <w:name w:val="89A5832A7C4F48A98BA7650FA417DD0F18"/>
    <w:rsid w:val="005E4463"/>
    <w:pPr>
      <w:spacing w:after="200" w:line="276" w:lineRule="auto"/>
    </w:pPr>
    <w:rPr>
      <w:rFonts w:eastAsiaTheme="minorHAnsi"/>
    </w:rPr>
  </w:style>
  <w:style w:type="paragraph" w:customStyle="1" w:styleId="E9C4D328EC434A9C80A86F8356AA250C9">
    <w:name w:val="E9C4D328EC434A9C80A86F8356AA250C9"/>
    <w:rsid w:val="005E4463"/>
    <w:pPr>
      <w:spacing w:after="200" w:line="276" w:lineRule="auto"/>
    </w:pPr>
    <w:rPr>
      <w:rFonts w:eastAsiaTheme="minorHAnsi"/>
    </w:rPr>
  </w:style>
  <w:style w:type="paragraph" w:customStyle="1" w:styleId="C2A606F6E7AD4324A31F06D3BA74F5CB">
    <w:name w:val="C2A606F6E7AD4324A31F06D3BA74F5CB"/>
    <w:rsid w:val="005E4463"/>
    <w:pPr>
      <w:spacing w:after="200" w:line="276" w:lineRule="auto"/>
    </w:pPr>
    <w:rPr>
      <w:rFonts w:eastAsiaTheme="minorHAnsi"/>
    </w:rPr>
  </w:style>
  <w:style w:type="paragraph" w:customStyle="1" w:styleId="3DD8B319E24143C980CBB9B74A59E6A0">
    <w:name w:val="3DD8B319E24143C980CBB9B74A59E6A0"/>
    <w:rsid w:val="005E4463"/>
    <w:pPr>
      <w:spacing w:after="200" w:line="276" w:lineRule="auto"/>
    </w:pPr>
    <w:rPr>
      <w:rFonts w:eastAsiaTheme="minorHAnsi"/>
    </w:rPr>
  </w:style>
  <w:style w:type="paragraph" w:customStyle="1" w:styleId="EF2386AB3FD94BF5A2F142EAAE9CB92D8">
    <w:name w:val="EF2386AB3FD94BF5A2F142EAAE9CB92D8"/>
    <w:rsid w:val="005E4463"/>
    <w:pPr>
      <w:spacing w:after="200" w:line="276" w:lineRule="auto"/>
    </w:pPr>
    <w:rPr>
      <w:rFonts w:eastAsiaTheme="minorHAnsi"/>
    </w:rPr>
  </w:style>
  <w:style w:type="paragraph" w:customStyle="1" w:styleId="FE366CF63CD541A8A4541D852C504C627">
    <w:name w:val="FE366CF63CD541A8A4541D852C504C627"/>
    <w:rsid w:val="005E4463"/>
    <w:pPr>
      <w:spacing w:after="200" w:line="276" w:lineRule="auto"/>
    </w:pPr>
    <w:rPr>
      <w:rFonts w:eastAsiaTheme="minorHAnsi"/>
    </w:rPr>
  </w:style>
  <w:style w:type="paragraph" w:customStyle="1" w:styleId="0B5B8BC5E6CA4394B910A170B08F3C1B3">
    <w:name w:val="0B5B8BC5E6CA4394B910A170B08F3C1B3"/>
    <w:rsid w:val="000312EF"/>
    <w:pPr>
      <w:spacing w:after="200" w:line="276" w:lineRule="auto"/>
    </w:pPr>
    <w:rPr>
      <w:rFonts w:eastAsiaTheme="minorHAnsi"/>
    </w:rPr>
  </w:style>
  <w:style w:type="paragraph" w:customStyle="1" w:styleId="C4AEB1D36E6E41499F923E0D2F57B3831">
    <w:name w:val="C4AEB1D36E6E41499F923E0D2F57B3831"/>
    <w:rsid w:val="000312EF"/>
    <w:pPr>
      <w:spacing w:after="200" w:line="276" w:lineRule="auto"/>
    </w:pPr>
    <w:rPr>
      <w:rFonts w:eastAsiaTheme="minorHAnsi"/>
    </w:rPr>
  </w:style>
  <w:style w:type="paragraph" w:customStyle="1" w:styleId="613920DBD3E040A1842682D9B22291091">
    <w:name w:val="613920DBD3E040A1842682D9B22291091"/>
    <w:rsid w:val="000312EF"/>
    <w:pPr>
      <w:spacing w:after="200" w:line="276" w:lineRule="auto"/>
    </w:pPr>
    <w:rPr>
      <w:rFonts w:eastAsiaTheme="minorHAnsi"/>
    </w:rPr>
  </w:style>
  <w:style w:type="paragraph" w:customStyle="1" w:styleId="182AC283FB7242D982FEBC37F5905E2B1">
    <w:name w:val="182AC283FB7242D982FEBC37F5905E2B1"/>
    <w:rsid w:val="000312EF"/>
    <w:pPr>
      <w:spacing w:after="200" w:line="276" w:lineRule="auto"/>
    </w:pPr>
    <w:rPr>
      <w:rFonts w:eastAsiaTheme="minorHAnsi"/>
    </w:rPr>
  </w:style>
  <w:style w:type="paragraph" w:customStyle="1" w:styleId="89A5832A7C4F48A98BA7650FA417DD0F19">
    <w:name w:val="89A5832A7C4F48A98BA7650FA417DD0F19"/>
    <w:rsid w:val="000312EF"/>
    <w:pPr>
      <w:spacing w:after="200" w:line="276" w:lineRule="auto"/>
    </w:pPr>
    <w:rPr>
      <w:rFonts w:eastAsiaTheme="minorHAnsi"/>
    </w:rPr>
  </w:style>
  <w:style w:type="paragraph" w:customStyle="1" w:styleId="E9C4D328EC434A9C80A86F8356AA250C10">
    <w:name w:val="E9C4D328EC434A9C80A86F8356AA250C10"/>
    <w:rsid w:val="000312EF"/>
    <w:pPr>
      <w:spacing w:after="200" w:line="276" w:lineRule="auto"/>
    </w:pPr>
    <w:rPr>
      <w:rFonts w:eastAsiaTheme="minorHAnsi"/>
    </w:rPr>
  </w:style>
  <w:style w:type="paragraph" w:customStyle="1" w:styleId="C2A606F6E7AD4324A31F06D3BA74F5CB1">
    <w:name w:val="C2A606F6E7AD4324A31F06D3BA74F5CB1"/>
    <w:rsid w:val="000312EF"/>
    <w:pPr>
      <w:spacing w:after="200" w:line="276" w:lineRule="auto"/>
    </w:pPr>
    <w:rPr>
      <w:rFonts w:eastAsiaTheme="minorHAnsi"/>
    </w:rPr>
  </w:style>
  <w:style w:type="paragraph" w:customStyle="1" w:styleId="0B5B8BC5E6CA4394B910A170B08F3C1B4">
    <w:name w:val="0B5B8BC5E6CA4394B910A170B08F3C1B4"/>
    <w:rsid w:val="004932BF"/>
    <w:pPr>
      <w:spacing w:after="200" w:line="276" w:lineRule="auto"/>
    </w:pPr>
    <w:rPr>
      <w:rFonts w:eastAsiaTheme="minorHAnsi"/>
    </w:rPr>
  </w:style>
  <w:style w:type="paragraph" w:customStyle="1" w:styleId="C4AEB1D36E6E41499F923E0D2F57B3832">
    <w:name w:val="C4AEB1D36E6E41499F923E0D2F57B3832"/>
    <w:rsid w:val="004932BF"/>
    <w:pPr>
      <w:spacing w:after="200" w:line="276" w:lineRule="auto"/>
    </w:pPr>
    <w:rPr>
      <w:rFonts w:eastAsiaTheme="minorHAnsi"/>
    </w:rPr>
  </w:style>
  <w:style w:type="paragraph" w:customStyle="1" w:styleId="613920DBD3E040A1842682D9B22291092">
    <w:name w:val="613920DBD3E040A1842682D9B22291092"/>
    <w:rsid w:val="004932BF"/>
    <w:pPr>
      <w:spacing w:after="200" w:line="276" w:lineRule="auto"/>
    </w:pPr>
    <w:rPr>
      <w:rFonts w:eastAsiaTheme="minorHAnsi"/>
    </w:rPr>
  </w:style>
  <w:style w:type="paragraph" w:customStyle="1" w:styleId="182AC283FB7242D982FEBC37F5905E2B2">
    <w:name w:val="182AC283FB7242D982FEBC37F5905E2B2"/>
    <w:rsid w:val="004932BF"/>
    <w:pPr>
      <w:spacing w:after="200" w:line="276" w:lineRule="auto"/>
    </w:pPr>
    <w:rPr>
      <w:rFonts w:eastAsiaTheme="minorHAnsi"/>
    </w:rPr>
  </w:style>
  <w:style w:type="paragraph" w:customStyle="1" w:styleId="89A5832A7C4F48A98BA7650FA417DD0F20">
    <w:name w:val="89A5832A7C4F48A98BA7650FA417DD0F20"/>
    <w:rsid w:val="004932BF"/>
    <w:pPr>
      <w:spacing w:after="200" w:line="276" w:lineRule="auto"/>
    </w:pPr>
    <w:rPr>
      <w:rFonts w:eastAsiaTheme="minorHAnsi"/>
    </w:rPr>
  </w:style>
  <w:style w:type="paragraph" w:customStyle="1" w:styleId="E9C4D328EC434A9C80A86F8356AA250C11">
    <w:name w:val="E9C4D328EC434A9C80A86F8356AA250C11"/>
    <w:rsid w:val="004932BF"/>
    <w:pPr>
      <w:spacing w:after="200" w:line="276" w:lineRule="auto"/>
    </w:pPr>
    <w:rPr>
      <w:rFonts w:eastAsiaTheme="minorHAnsi"/>
    </w:rPr>
  </w:style>
  <w:style w:type="paragraph" w:customStyle="1" w:styleId="C2A606F6E7AD4324A31F06D3BA74F5CB2">
    <w:name w:val="C2A606F6E7AD4324A31F06D3BA74F5CB2"/>
    <w:rsid w:val="004932BF"/>
    <w:pPr>
      <w:spacing w:after="200" w:line="276" w:lineRule="auto"/>
    </w:pPr>
    <w:rPr>
      <w:rFonts w:eastAsiaTheme="minorHAnsi"/>
    </w:rPr>
  </w:style>
  <w:style w:type="paragraph" w:customStyle="1" w:styleId="3DD8B319E24143C980CBB9B74A59E6A01">
    <w:name w:val="3DD8B319E24143C980CBB9B74A59E6A01"/>
    <w:rsid w:val="004932BF"/>
    <w:pPr>
      <w:spacing w:after="200" w:line="276" w:lineRule="auto"/>
    </w:pPr>
    <w:rPr>
      <w:rFonts w:eastAsiaTheme="minorHAnsi"/>
    </w:rPr>
  </w:style>
  <w:style w:type="paragraph" w:customStyle="1" w:styleId="EF2386AB3FD94BF5A2F142EAAE9CB92D9">
    <w:name w:val="EF2386AB3FD94BF5A2F142EAAE9CB92D9"/>
    <w:rsid w:val="004932BF"/>
    <w:pPr>
      <w:spacing w:after="200" w:line="276" w:lineRule="auto"/>
    </w:pPr>
    <w:rPr>
      <w:rFonts w:eastAsiaTheme="minorHAnsi"/>
    </w:rPr>
  </w:style>
  <w:style w:type="paragraph" w:customStyle="1" w:styleId="FE366CF63CD541A8A4541D852C504C628">
    <w:name w:val="FE366CF63CD541A8A4541D852C504C628"/>
    <w:rsid w:val="004932BF"/>
    <w:pPr>
      <w:spacing w:after="200" w:line="276" w:lineRule="auto"/>
    </w:pPr>
    <w:rPr>
      <w:rFonts w:eastAsiaTheme="minorHAnsi"/>
    </w:rPr>
  </w:style>
  <w:style w:type="paragraph" w:customStyle="1" w:styleId="0B5B8BC5E6CA4394B910A170B08F3C1B5">
    <w:name w:val="0B5B8BC5E6CA4394B910A170B08F3C1B5"/>
    <w:rsid w:val="009C73D3"/>
    <w:pPr>
      <w:spacing w:after="200" w:line="276" w:lineRule="auto"/>
    </w:pPr>
    <w:rPr>
      <w:rFonts w:eastAsiaTheme="minorHAnsi"/>
    </w:rPr>
  </w:style>
  <w:style w:type="paragraph" w:customStyle="1" w:styleId="C4AEB1D36E6E41499F923E0D2F57B3833">
    <w:name w:val="C4AEB1D36E6E41499F923E0D2F57B3833"/>
    <w:rsid w:val="009C73D3"/>
    <w:pPr>
      <w:spacing w:after="200" w:line="276" w:lineRule="auto"/>
    </w:pPr>
    <w:rPr>
      <w:rFonts w:eastAsiaTheme="minorHAnsi"/>
    </w:rPr>
  </w:style>
  <w:style w:type="paragraph" w:customStyle="1" w:styleId="613920DBD3E040A1842682D9B22291093">
    <w:name w:val="613920DBD3E040A1842682D9B22291093"/>
    <w:rsid w:val="009C73D3"/>
    <w:pPr>
      <w:spacing w:after="200" w:line="276" w:lineRule="auto"/>
    </w:pPr>
    <w:rPr>
      <w:rFonts w:eastAsiaTheme="minorHAnsi"/>
    </w:rPr>
  </w:style>
  <w:style w:type="paragraph" w:customStyle="1" w:styleId="182AC283FB7242D982FEBC37F5905E2B3">
    <w:name w:val="182AC283FB7242D982FEBC37F5905E2B3"/>
    <w:rsid w:val="009C73D3"/>
    <w:pPr>
      <w:spacing w:after="200" w:line="276" w:lineRule="auto"/>
    </w:pPr>
    <w:rPr>
      <w:rFonts w:eastAsiaTheme="minorHAnsi"/>
    </w:rPr>
  </w:style>
  <w:style w:type="paragraph" w:customStyle="1" w:styleId="89A5832A7C4F48A98BA7650FA417DD0F21">
    <w:name w:val="89A5832A7C4F48A98BA7650FA417DD0F21"/>
    <w:rsid w:val="009C73D3"/>
    <w:pPr>
      <w:spacing w:after="200" w:line="276" w:lineRule="auto"/>
    </w:pPr>
    <w:rPr>
      <w:rFonts w:eastAsiaTheme="minorHAnsi"/>
    </w:rPr>
  </w:style>
  <w:style w:type="paragraph" w:customStyle="1" w:styleId="E9C4D328EC434A9C80A86F8356AA250C12">
    <w:name w:val="E9C4D328EC434A9C80A86F8356AA250C12"/>
    <w:rsid w:val="009C73D3"/>
    <w:pPr>
      <w:spacing w:after="200" w:line="276" w:lineRule="auto"/>
    </w:pPr>
    <w:rPr>
      <w:rFonts w:eastAsiaTheme="minorHAnsi"/>
    </w:rPr>
  </w:style>
  <w:style w:type="paragraph" w:customStyle="1" w:styleId="0B5B8BC5E6CA4394B910A170B08F3C1B6">
    <w:name w:val="0B5B8BC5E6CA4394B910A170B08F3C1B6"/>
    <w:rsid w:val="009C73D3"/>
    <w:pPr>
      <w:spacing w:after="200" w:line="276" w:lineRule="auto"/>
    </w:pPr>
    <w:rPr>
      <w:rFonts w:eastAsiaTheme="minorHAnsi"/>
    </w:rPr>
  </w:style>
  <w:style w:type="paragraph" w:customStyle="1" w:styleId="C4AEB1D36E6E41499F923E0D2F57B3834">
    <w:name w:val="C4AEB1D36E6E41499F923E0D2F57B3834"/>
    <w:rsid w:val="009C73D3"/>
    <w:pPr>
      <w:spacing w:after="200" w:line="276" w:lineRule="auto"/>
    </w:pPr>
    <w:rPr>
      <w:rFonts w:eastAsiaTheme="minorHAnsi"/>
    </w:rPr>
  </w:style>
  <w:style w:type="paragraph" w:customStyle="1" w:styleId="613920DBD3E040A1842682D9B22291094">
    <w:name w:val="613920DBD3E040A1842682D9B22291094"/>
    <w:rsid w:val="009C73D3"/>
    <w:pPr>
      <w:spacing w:after="200" w:line="276" w:lineRule="auto"/>
    </w:pPr>
    <w:rPr>
      <w:rFonts w:eastAsiaTheme="minorHAnsi"/>
    </w:rPr>
  </w:style>
  <w:style w:type="paragraph" w:customStyle="1" w:styleId="182AC283FB7242D982FEBC37F5905E2B4">
    <w:name w:val="182AC283FB7242D982FEBC37F5905E2B4"/>
    <w:rsid w:val="009C73D3"/>
    <w:pPr>
      <w:spacing w:after="200" w:line="276" w:lineRule="auto"/>
    </w:pPr>
    <w:rPr>
      <w:rFonts w:eastAsiaTheme="minorHAnsi"/>
    </w:rPr>
  </w:style>
  <w:style w:type="paragraph" w:customStyle="1" w:styleId="89A5832A7C4F48A98BA7650FA417DD0F22">
    <w:name w:val="89A5832A7C4F48A98BA7650FA417DD0F22"/>
    <w:rsid w:val="009C73D3"/>
    <w:pPr>
      <w:spacing w:after="200" w:line="276" w:lineRule="auto"/>
    </w:pPr>
    <w:rPr>
      <w:rFonts w:eastAsiaTheme="minorHAnsi"/>
    </w:rPr>
  </w:style>
  <w:style w:type="paragraph" w:customStyle="1" w:styleId="E9C4D328EC434A9C80A86F8356AA250C13">
    <w:name w:val="E9C4D328EC434A9C80A86F8356AA250C13"/>
    <w:rsid w:val="009C73D3"/>
    <w:pPr>
      <w:spacing w:after="200" w:line="276" w:lineRule="auto"/>
    </w:pPr>
    <w:rPr>
      <w:rFonts w:eastAsiaTheme="minorHAnsi"/>
    </w:rPr>
  </w:style>
  <w:style w:type="paragraph" w:customStyle="1" w:styleId="0B5B8BC5E6CA4394B910A170B08F3C1B7">
    <w:name w:val="0B5B8BC5E6CA4394B910A170B08F3C1B7"/>
    <w:rsid w:val="009C73D3"/>
    <w:pPr>
      <w:spacing w:after="200" w:line="276" w:lineRule="auto"/>
    </w:pPr>
    <w:rPr>
      <w:rFonts w:eastAsiaTheme="minorHAnsi"/>
    </w:rPr>
  </w:style>
  <w:style w:type="paragraph" w:customStyle="1" w:styleId="C4AEB1D36E6E41499F923E0D2F57B3835">
    <w:name w:val="C4AEB1D36E6E41499F923E0D2F57B3835"/>
    <w:rsid w:val="009C73D3"/>
    <w:pPr>
      <w:spacing w:after="200" w:line="276" w:lineRule="auto"/>
    </w:pPr>
    <w:rPr>
      <w:rFonts w:eastAsiaTheme="minorHAnsi"/>
    </w:rPr>
  </w:style>
  <w:style w:type="paragraph" w:customStyle="1" w:styleId="613920DBD3E040A1842682D9B22291095">
    <w:name w:val="613920DBD3E040A1842682D9B22291095"/>
    <w:rsid w:val="009C73D3"/>
    <w:pPr>
      <w:spacing w:after="200" w:line="276" w:lineRule="auto"/>
    </w:pPr>
    <w:rPr>
      <w:rFonts w:eastAsiaTheme="minorHAnsi"/>
    </w:rPr>
  </w:style>
  <w:style w:type="paragraph" w:customStyle="1" w:styleId="182AC283FB7242D982FEBC37F5905E2B5">
    <w:name w:val="182AC283FB7242D982FEBC37F5905E2B5"/>
    <w:rsid w:val="009C73D3"/>
    <w:pPr>
      <w:spacing w:after="200" w:line="276" w:lineRule="auto"/>
    </w:pPr>
    <w:rPr>
      <w:rFonts w:eastAsiaTheme="minorHAnsi"/>
    </w:rPr>
  </w:style>
  <w:style w:type="paragraph" w:customStyle="1" w:styleId="89A5832A7C4F48A98BA7650FA417DD0F23">
    <w:name w:val="89A5832A7C4F48A98BA7650FA417DD0F23"/>
    <w:rsid w:val="009C73D3"/>
    <w:pPr>
      <w:spacing w:after="200" w:line="276" w:lineRule="auto"/>
    </w:pPr>
    <w:rPr>
      <w:rFonts w:eastAsiaTheme="minorHAnsi"/>
    </w:rPr>
  </w:style>
  <w:style w:type="paragraph" w:customStyle="1" w:styleId="E9C4D328EC434A9C80A86F8356AA250C14">
    <w:name w:val="E9C4D328EC434A9C80A86F8356AA250C14"/>
    <w:rsid w:val="009C73D3"/>
    <w:pPr>
      <w:spacing w:after="200" w:line="276" w:lineRule="auto"/>
    </w:pPr>
    <w:rPr>
      <w:rFonts w:eastAsiaTheme="minorHAnsi"/>
    </w:rPr>
  </w:style>
  <w:style w:type="paragraph" w:customStyle="1" w:styleId="3DD8B319E24143C980CBB9B74A59E6A02">
    <w:name w:val="3DD8B319E24143C980CBB9B74A59E6A02"/>
    <w:rsid w:val="009C73D3"/>
    <w:pPr>
      <w:spacing w:after="200" w:line="276" w:lineRule="auto"/>
    </w:pPr>
    <w:rPr>
      <w:rFonts w:eastAsiaTheme="minorHAnsi"/>
    </w:rPr>
  </w:style>
  <w:style w:type="paragraph" w:customStyle="1" w:styleId="0B5B8BC5E6CA4394B910A170B08F3C1B8">
    <w:name w:val="0B5B8BC5E6CA4394B910A170B08F3C1B8"/>
    <w:rsid w:val="009C73D3"/>
    <w:pPr>
      <w:spacing w:after="200" w:line="276" w:lineRule="auto"/>
    </w:pPr>
    <w:rPr>
      <w:rFonts w:eastAsiaTheme="minorHAnsi"/>
    </w:rPr>
  </w:style>
  <w:style w:type="paragraph" w:customStyle="1" w:styleId="C4AEB1D36E6E41499F923E0D2F57B3836">
    <w:name w:val="C4AEB1D36E6E41499F923E0D2F57B3836"/>
    <w:rsid w:val="009C73D3"/>
    <w:pPr>
      <w:spacing w:after="200" w:line="276" w:lineRule="auto"/>
    </w:pPr>
    <w:rPr>
      <w:rFonts w:eastAsiaTheme="minorHAnsi"/>
    </w:rPr>
  </w:style>
  <w:style w:type="paragraph" w:customStyle="1" w:styleId="613920DBD3E040A1842682D9B22291096">
    <w:name w:val="613920DBD3E040A1842682D9B22291096"/>
    <w:rsid w:val="009C73D3"/>
    <w:pPr>
      <w:spacing w:after="200" w:line="276" w:lineRule="auto"/>
    </w:pPr>
    <w:rPr>
      <w:rFonts w:eastAsiaTheme="minorHAnsi"/>
    </w:rPr>
  </w:style>
  <w:style w:type="paragraph" w:customStyle="1" w:styleId="182AC283FB7242D982FEBC37F5905E2B6">
    <w:name w:val="182AC283FB7242D982FEBC37F5905E2B6"/>
    <w:rsid w:val="009C73D3"/>
    <w:pPr>
      <w:spacing w:after="200" w:line="276" w:lineRule="auto"/>
    </w:pPr>
    <w:rPr>
      <w:rFonts w:eastAsiaTheme="minorHAnsi"/>
    </w:rPr>
  </w:style>
  <w:style w:type="paragraph" w:customStyle="1" w:styleId="89A5832A7C4F48A98BA7650FA417DD0F24">
    <w:name w:val="89A5832A7C4F48A98BA7650FA417DD0F24"/>
    <w:rsid w:val="009C73D3"/>
    <w:pPr>
      <w:spacing w:after="200" w:line="276" w:lineRule="auto"/>
    </w:pPr>
    <w:rPr>
      <w:rFonts w:eastAsiaTheme="minorHAnsi"/>
    </w:rPr>
  </w:style>
  <w:style w:type="paragraph" w:customStyle="1" w:styleId="E9C4D328EC434A9C80A86F8356AA250C15">
    <w:name w:val="E9C4D328EC434A9C80A86F8356AA250C15"/>
    <w:rsid w:val="009C73D3"/>
    <w:pPr>
      <w:spacing w:after="200" w:line="276" w:lineRule="auto"/>
    </w:pPr>
    <w:rPr>
      <w:rFonts w:eastAsiaTheme="minorHAnsi"/>
    </w:rPr>
  </w:style>
  <w:style w:type="paragraph" w:customStyle="1" w:styleId="0B5B8BC5E6CA4394B910A170B08F3C1B9">
    <w:name w:val="0B5B8BC5E6CA4394B910A170B08F3C1B9"/>
    <w:rsid w:val="00922D7A"/>
    <w:pPr>
      <w:spacing w:after="200" w:line="276" w:lineRule="auto"/>
    </w:pPr>
    <w:rPr>
      <w:rFonts w:eastAsiaTheme="minorHAnsi"/>
    </w:rPr>
  </w:style>
  <w:style w:type="paragraph" w:customStyle="1" w:styleId="C4AEB1D36E6E41499F923E0D2F57B3837">
    <w:name w:val="C4AEB1D36E6E41499F923E0D2F57B3837"/>
    <w:rsid w:val="00922D7A"/>
    <w:pPr>
      <w:spacing w:after="200" w:line="276" w:lineRule="auto"/>
    </w:pPr>
    <w:rPr>
      <w:rFonts w:eastAsiaTheme="minorHAnsi"/>
    </w:rPr>
  </w:style>
  <w:style w:type="paragraph" w:customStyle="1" w:styleId="613920DBD3E040A1842682D9B22291097">
    <w:name w:val="613920DBD3E040A1842682D9B22291097"/>
    <w:rsid w:val="00922D7A"/>
    <w:pPr>
      <w:spacing w:after="200" w:line="276" w:lineRule="auto"/>
    </w:pPr>
    <w:rPr>
      <w:rFonts w:eastAsiaTheme="minorHAnsi"/>
    </w:rPr>
  </w:style>
  <w:style w:type="paragraph" w:customStyle="1" w:styleId="182AC283FB7242D982FEBC37F5905E2B7">
    <w:name w:val="182AC283FB7242D982FEBC37F5905E2B7"/>
    <w:rsid w:val="00922D7A"/>
    <w:pPr>
      <w:spacing w:after="200" w:line="276" w:lineRule="auto"/>
    </w:pPr>
    <w:rPr>
      <w:rFonts w:eastAsiaTheme="minorHAnsi"/>
    </w:rPr>
  </w:style>
  <w:style w:type="paragraph" w:customStyle="1" w:styleId="89A5832A7C4F48A98BA7650FA417DD0F25">
    <w:name w:val="89A5832A7C4F48A98BA7650FA417DD0F25"/>
    <w:rsid w:val="00922D7A"/>
    <w:pPr>
      <w:spacing w:after="200" w:line="276" w:lineRule="auto"/>
    </w:pPr>
    <w:rPr>
      <w:rFonts w:eastAsiaTheme="minorHAnsi"/>
    </w:rPr>
  </w:style>
  <w:style w:type="paragraph" w:customStyle="1" w:styleId="E9C4D328EC434A9C80A86F8356AA250C16">
    <w:name w:val="E9C4D328EC434A9C80A86F8356AA250C16"/>
    <w:rsid w:val="00922D7A"/>
    <w:pPr>
      <w:spacing w:after="200" w:line="276" w:lineRule="auto"/>
    </w:pPr>
    <w:rPr>
      <w:rFonts w:eastAsiaTheme="minorHAnsi"/>
    </w:rPr>
  </w:style>
  <w:style w:type="paragraph" w:customStyle="1" w:styleId="3DD8B319E24143C980CBB9B74A59E6A03">
    <w:name w:val="3DD8B319E24143C980CBB9B74A59E6A03"/>
    <w:rsid w:val="00922D7A"/>
    <w:pPr>
      <w:spacing w:after="200" w:line="276" w:lineRule="auto"/>
    </w:pPr>
    <w:rPr>
      <w:rFonts w:eastAsiaTheme="minorHAnsi"/>
    </w:rPr>
  </w:style>
  <w:style w:type="paragraph" w:customStyle="1" w:styleId="EF2386AB3FD94BF5A2F142EAAE9CB92D10">
    <w:name w:val="EF2386AB3FD94BF5A2F142EAAE9CB92D10"/>
    <w:rsid w:val="00922D7A"/>
    <w:pPr>
      <w:spacing w:after="200" w:line="276" w:lineRule="auto"/>
    </w:pPr>
    <w:rPr>
      <w:rFonts w:eastAsiaTheme="minorHAnsi"/>
    </w:rPr>
  </w:style>
  <w:style w:type="paragraph" w:customStyle="1" w:styleId="FE366CF63CD541A8A4541D852C504C629">
    <w:name w:val="FE366CF63CD541A8A4541D852C504C629"/>
    <w:rsid w:val="00922D7A"/>
    <w:pPr>
      <w:spacing w:after="200" w:line="276" w:lineRule="auto"/>
    </w:pPr>
    <w:rPr>
      <w:rFonts w:eastAsiaTheme="minorHAnsi"/>
    </w:rPr>
  </w:style>
  <w:style w:type="paragraph" w:customStyle="1" w:styleId="0B5B8BC5E6CA4394B910A170B08F3C1B10">
    <w:name w:val="0B5B8BC5E6CA4394B910A170B08F3C1B10"/>
    <w:rsid w:val="009D6C85"/>
    <w:pPr>
      <w:spacing w:after="200" w:line="276" w:lineRule="auto"/>
    </w:pPr>
    <w:rPr>
      <w:rFonts w:eastAsiaTheme="minorHAnsi"/>
    </w:rPr>
  </w:style>
  <w:style w:type="paragraph" w:customStyle="1" w:styleId="C4AEB1D36E6E41499F923E0D2F57B3838">
    <w:name w:val="C4AEB1D36E6E41499F923E0D2F57B3838"/>
    <w:rsid w:val="009D6C85"/>
    <w:pPr>
      <w:spacing w:after="200" w:line="276" w:lineRule="auto"/>
    </w:pPr>
    <w:rPr>
      <w:rFonts w:eastAsiaTheme="minorHAnsi"/>
    </w:rPr>
  </w:style>
  <w:style w:type="paragraph" w:customStyle="1" w:styleId="613920DBD3E040A1842682D9B22291098">
    <w:name w:val="613920DBD3E040A1842682D9B22291098"/>
    <w:rsid w:val="009D6C85"/>
    <w:pPr>
      <w:spacing w:after="200" w:line="276" w:lineRule="auto"/>
    </w:pPr>
    <w:rPr>
      <w:rFonts w:eastAsiaTheme="minorHAnsi"/>
    </w:rPr>
  </w:style>
  <w:style w:type="paragraph" w:customStyle="1" w:styleId="182AC283FB7242D982FEBC37F5905E2B8">
    <w:name w:val="182AC283FB7242D982FEBC37F5905E2B8"/>
    <w:rsid w:val="009D6C85"/>
    <w:pPr>
      <w:spacing w:after="200" w:line="276" w:lineRule="auto"/>
    </w:pPr>
    <w:rPr>
      <w:rFonts w:eastAsiaTheme="minorHAnsi"/>
    </w:rPr>
  </w:style>
  <w:style w:type="paragraph" w:customStyle="1" w:styleId="89A5832A7C4F48A98BA7650FA417DD0F26">
    <w:name w:val="89A5832A7C4F48A98BA7650FA417DD0F26"/>
    <w:rsid w:val="009D6C85"/>
    <w:pPr>
      <w:spacing w:after="200" w:line="276" w:lineRule="auto"/>
    </w:pPr>
    <w:rPr>
      <w:rFonts w:eastAsiaTheme="minorHAnsi"/>
    </w:rPr>
  </w:style>
  <w:style w:type="paragraph" w:customStyle="1" w:styleId="E9C4D328EC434A9C80A86F8356AA250C17">
    <w:name w:val="E9C4D328EC434A9C80A86F8356AA250C17"/>
    <w:rsid w:val="009D6C85"/>
    <w:pPr>
      <w:spacing w:after="200" w:line="276" w:lineRule="auto"/>
    </w:pPr>
    <w:rPr>
      <w:rFonts w:eastAsiaTheme="minorHAnsi"/>
    </w:rPr>
  </w:style>
  <w:style w:type="paragraph" w:customStyle="1" w:styleId="EF2386AB3FD94BF5A2F142EAAE9CB92D11">
    <w:name w:val="EF2386AB3FD94BF5A2F142EAAE9CB92D11"/>
    <w:rsid w:val="009D6C85"/>
    <w:pPr>
      <w:spacing w:after="200" w:line="276" w:lineRule="auto"/>
    </w:pPr>
    <w:rPr>
      <w:rFonts w:eastAsiaTheme="minorHAnsi"/>
    </w:rPr>
  </w:style>
  <w:style w:type="paragraph" w:customStyle="1" w:styleId="FE366CF63CD541A8A4541D852C504C6210">
    <w:name w:val="FE366CF63CD541A8A4541D852C504C6210"/>
    <w:rsid w:val="009D6C85"/>
    <w:pPr>
      <w:spacing w:after="200" w:line="276" w:lineRule="auto"/>
    </w:pPr>
    <w:rPr>
      <w:rFonts w:eastAsiaTheme="minorHAnsi"/>
    </w:rPr>
  </w:style>
  <w:style w:type="paragraph" w:customStyle="1" w:styleId="52757DD75F2D4C178FC3C616785B37DE">
    <w:name w:val="52757DD75F2D4C178FC3C616785B37DE"/>
    <w:rsid w:val="00365824"/>
  </w:style>
  <w:style w:type="paragraph" w:customStyle="1" w:styleId="8C34EA18E74C448AA50EF94A042268B3">
    <w:name w:val="8C34EA18E74C448AA50EF94A042268B3"/>
    <w:rsid w:val="00365824"/>
  </w:style>
  <w:style w:type="paragraph" w:customStyle="1" w:styleId="451B3C59A9294F899B400D416B2E9171">
    <w:name w:val="451B3C59A9294F899B400D416B2E9171"/>
    <w:rsid w:val="00365824"/>
  </w:style>
  <w:style w:type="paragraph" w:customStyle="1" w:styleId="C8F332D4AB3E4D85A66AF0E6D11A20FE">
    <w:name w:val="C8F332D4AB3E4D85A66AF0E6D11A20FE"/>
    <w:rsid w:val="00365824"/>
  </w:style>
  <w:style w:type="paragraph" w:customStyle="1" w:styleId="0B5B8BC5E6CA4394B910A170B08F3C1B11">
    <w:name w:val="0B5B8BC5E6CA4394B910A170B08F3C1B11"/>
    <w:rsid w:val="000831CD"/>
    <w:pPr>
      <w:spacing w:after="200" w:line="276" w:lineRule="auto"/>
    </w:pPr>
    <w:rPr>
      <w:rFonts w:eastAsiaTheme="minorHAnsi"/>
    </w:rPr>
  </w:style>
  <w:style w:type="paragraph" w:customStyle="1" w:styleId="C4AEB1D36E6E41499F923E0D2F57B3839">
    <w:name w:val="C4AEB1D36E6E41499F923E0D2F57B3839"/>
    <w:rsid w:val="000831CD"/>
    <w:pPr>
      <w:spacing w:after="200" w:line="276" w:lineRule="auto"/>
    </w:pPr>
    <w:rPr>
      <w:rFonts w:eastAsiaTheme="minorHAnsi"/>
    </w:rPr>
  </w:style>
  <w:style w:type="paragraph" w:customStyle="1" w:styleId="613920DBD3E040A1842682D9B22291099">
    <w:name w:val="613920DBD3E040A1842682D9B22291099"/>
    <w:rsid w:val="000831CD"/>
    <w:pPr>
      <w:spacing w:after="200" w:line="276" w:lineRule="auto"/>
    </w:pPr>
    <w:rPr>
      <w:rFonts w:eastAsiaTheme="minorHAnsi"/>
    </w:rPr>
  </w:style>
  <w:style w:type="paragraph" w:customStyle="1" w:styleId="182AC283FB7242D982FEBC37F5905E2B9">
    <w:name w:val="182AC283FB7242D982FEBC37F5905E2B9"/>
    <w:rsid w:val="000831CD"/>
    <w:pPr>
      <w:spacing w:after="200" w:line="276" w:lineRule="auto"/>
    </w:pPr>
    <w:rPr>
      <w:rFonts w:eastAsiaTheme="minorHAnsi"/>
    </w:rPr>
  </w:style>
  <w:style w:type="paragraph" w:customStyle="1" w:styleId="89A5832A7C4F48A98BA7650FA417DD0F27">
    <w:name w:val="89A5832A7C4F48A98BA7650FA417DD0F27"/>
    <w:rsid w:val="000831CD"/>
    <w:pPr>
      <w:spacing w:after="200" w:line="276" w:lineRule="auto"/>
    </w:pPr>
    <w:rPr>
      <w:rFonts w:eastAsiaTheme="minorHAnsi"/>
    </w:rPr>
  </w:style>
  <w:style w:type="paragraph" w:customStyle="1" w:styleId="E9C4D328EC434A9C80A86F8356AA250C18">
    <w:name w:val="E9C4D328EC434A9C80A86F8356AA250C18"/>
    <w:rsid w:val="000831CD"/>
    <w:pPr>
      <w:spacing w:after="200" w:line="276" w:lineRule="auto"/>
    </w:pPr>
    <w:rPr>
      <w:rFonts w:eastAsiaTheme="minorHAnsi"/>
    </w:rPr>
  </w:style>
  <w:style w:type="paragraph" w:customStyle="1" w:styleId="C8F332D4AB3E4D85A66AF0E6D11A20FE1">
    <w:name w:val="C8F332D4AB3E4D85A66AF0E6D11A20FE1"/>
    <w:rsid w:val="000831CD"/>
    <w:pPr>
      <w:spacing w:after="200" w:line="276" w:lineRule="auto"/>
    </w:pPr>
    <w:rPr>
      <w:rFonts w:eastAsiaTheme="minorHAnsi"/>
    </w:rPr>
  </w:style>
  <w:style w:type="paragraph" w:customStyle="1" w:styleId="8C34EA18E74C448AA50EF94A042268B31">
    <w:name w:val="8C34EA18E74C448AA50EF94A042268B31"/>
    <w:rsid w:val="000831CD"/>
    <w:pPr>
      <w:spacing w:after="200" w:line="276" w:lineRule="auto"/>
    </w:pPr>
    <w:rPr>
      <w:rFonts w:eastAsiaTheme="minorHAnsi"/>
    </w:rPr>
  </w:style>
  <w:style w:type="paragraph" w:customStyle="1" w:styleId="52757DD75F2D4C178FC3C616785B37DE1">
    <w:name w:val="52757DD75F2D4C178FC3C616785B37DE1"/>
    <w:rsid w:val="000831CD"/>
    <w:pPr>
      <w:spacing w:after="200" w:line="276" w:lineRule="auto"/>
    </w:pPr>
    <w:rPr>
      <w:rFonts w:eastAsiaTheme="minorHAnsi"/>
    </w:rPr>
  </w:style>
  <w:style w:type="paragraph" w:customStyle="1" w:styleId="EF2386AB3FD94BF5A2F142EAAE9CB92D12">
    <w:name w:val="EF2386AB3FD94BF5A2F142EAAE9CB92D12"/>
    <w:rsid w:val="000831CD"/>
    <w:pPr>
      <w:spacing w:after="200" w:line="276" w:lineRule="auto"/>
    </w:pPr>
    <w:rPr>
      <w:rFonts w:eastAsiaTheme="minorHAnsi"/>
    </w:rPr>
  </w:style>
  <w:style w:type="paragraph" w:customStyle="1" w:styleId="FE366CF63CD541A8A4541D852C504C6211">
    <w:name w:val="FE366CF63CD541A8A4541D852C504C6211"/>
    <w:rsid w:val="000831CD"/>
    <w:pPr>
      <w:spacing w:after="200" w:line="276" w:lineRule="auto"/>
    </w:pPr>
    <w:rPr>
      <w:rFonts w:eastAsiaTheme="minorHAnsi"/>
    </w:rPr>
  </w:style>
  <w:style w:type="paragraph" w:customStyle="1" w:styleId="0B5B8BC5E6CA4394B910A170B08F3C1B12">
    <w:name w:val="0B5B8BC5E6CA4394B910A170B08F3C1B12"/>
    <w:rsid w:val="00385CE7"/>
    <w:pPr>
      <w:spacing w:after="200" w:line="276" w:lineRule="auto"/>
    </w:pPr>
    <w:rPr>
      <w:rFonts w:eastAsiaTheme="minorHAnsi"/>
    </w:rPr>
  </w:style>
  <w:style w:type="paragraph" w:customStyle="1" w:styleId="C4AEB1D36E6E41499F923E0D2F57B38310">
    <w:name w:val="C4AEB1D36E6E41499F923E0D2F57B38310"/>
    <w:rsid w:val="00385CE7"/>
    <w:pPr>
      <w:spacing w:after="200" w:line="276" w:lineRule="auto"/>
    </w:pPr>
    <w:rPr>
      <w:rFonts w:eastAsiaTheme="minorHAnsi"/>
    </w:rPr>
  </w:style>
  <w:style w:type="paragraph" w:customStyle="1" w:styleId="613920DBD3E040A1842682D9B222910910">
    <w:name w:val="613920DBD3E040A1842682D9B222910910"/>
    <w:rsid w:val="00385CE7"/>
    <w:pPr>
      <w:spacing w:after="200" w:line="276" w:lineRule="auto"/>
    </w:pPr>
    <w:rPr>
      <w:rFonts w:eastAsiaTheme="minorHAnsi"/>
    </w:rPr>
  </w:style>
  <w:style w:type="paragraph" w:customStyle="1" w:styleId="182AC283FB7242D982FEBC37F5905E2B10">
    <w:name w:val="182AC283FB7242D982FEBC37F5905E2B10"/>
    <w:rsid w:val="00385CE7"/>
    <w:pPr>
      <w:spacing w:after="200" w:line="276" w:lineRule="auto"/>
    </w:pPr>
    <w:rPr>
      <w:rFonts w:eastAsiaTheme="minorHAnsi"/>
    </w:rPr>
  </w:style>
  <w:style w:type="paragraph" w:customStyle="1" w:styleId="89A5832A7C4F48A98BA7650FA417DD0F28">
    <w:name w:val="89A5832A7C4F48A98BA7650FA417DD0F28"/>
    <w:rsid w:val="00385CE7"/>
    <w:pPr>
      <w:spacing w:after="200" w:line="276" w:lineRule="auto"/>
    </w:pPr>
    <w:rPr>
      <w:rFonts w:eastAsiaTheme="minorHAnsi"/>
    </w:rPr>
  </w:style>
  <w:style w:type="paragraph" w:customStyle="1" w:styleId="E9C4D328EC434A9C80A86F8356AA250C19">
    <w:name w:val="E9C4D328EC434A9C80A86F8356AA250C19"/>
    <w:rsid w:val="00385CE7"/>
    <w:pPr>
      <w:spacing w:after="200" w:line="276" w:lineRule="auto"/>
    </w:pPr>
    <w:rPr>
      <w:rFonts w:eastAsiaTheme="minorHAnsi"/>
    </w:rPr>
  </w:style>
  <w:style w:type="paragraph" w:customStyle="1" w:styleId="C8F332D4AB3E4D85A66AF0E6D11A20FE2">
    <w:name w:val="C8F332D4AB3E4D85A66AF0E6D11A20FE2"/>
    <w:rsid w:val="00385CE7"/>
    <w:pPr>
      <w:spacing w:after="200" w:line="276" w:lineRule="auto"/>
    </w:pPr>
    <w:rPr>
      <w:rFonts w:eastAsiaTheme="minorHAnsi"/>
    </w:rPr>
  </w:style>
  <w:style w:type="paragraph" w:customStyle="1" w:styleId="8C34EA18E74C448AA50EF94A042268B32">
    <w:name w:val="8C34EA18E74C448AA50EF94A042268B32"/>
    <w:rsid w:val="00385CE7"/>
    <w:pPr>
      <w:spacing w:after="200" w:line="276" w:lineRule="auto"/>
    </w:pPr>
    <w:rPr>
      <w:rFonts w:eastAsiaTheme="minorHAnsi"/>
    </w:rPr>
  </w:style>
  <w:style w:type="paragraph" w:customStyle="1" w:styleId="52757DD75F2D4C178FC3C616785B37DE2">
    <w:name w:val="52757DD75F2D4C178FC3C616785B37DE2"/>
    <w:rsid w:val="00385CE7"/>
    <w:pPr>
      <w:spacing w:after="200" w:line="276" w:lineRule="auto"/>
    </w:pPr>
    <w:rPr>
      <w:rFonts w:eastAsiaTheme="minorHAnsi"/>
    </w:rPr>
  </w:style>
  <w:style w:type="paragraph" w:customStyle="1" w:styleId="EF2386AB3FD94BF5A2F142EAAE9CB92D13">
    <w:name w:val="EF2386AB3FD94BF5A2F142EAAE9CB92D13"/>
    <w:rsid w:val="00385CE7"/>
    <w:pPr>
      <w:spacing w:after="200" w:line="276" w:lineRule="auto"/>
    </w:pPr>
    <w:rPr>
      <w:rFonts w:eastAsiaTheme="minorHAnsi"/>
    </w:rPr>
  </w:style>
  <w:style w:type="paragraph" w:customStyle="1" w:styleId="FE366CF63CD541A8A4541D852C504C6212">
    <w:name w:val="FE366CF63CD541A8A4541D852C504C6212"/>
    <w:rsid w:val="00385CE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ceholder 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A22A045E90749AFB46ED9E88CD214" ma:contentTypeVersion="13" ma:contentTypeDescription="Create a new document." ma:contentTypeScope="" ma:versionID="296bed360124175c569d8d6402eb5745">
  <xsd:schema xmlns:xsd="http://www.w3.org/2001/XMLSchema" xmlns:xs="http://www.w3.org/2001/XMLSchema" xmlns:p="http://schemas.microsoft.com/office/2006/metadata/properties" xmlns:ns3="244682df-a1dc-412b-9389-3afdd60edf1c" xmlns:ns4="fbb2131b-6e5a-4b91-b463-35b30741ac4c" targetNamespace="http://schemas.microsoft.com/office/2006/metadata/properties" ma:root="true" ma:fieldsID="63f8b4ec3743d5aafead389dc446fd07" ns3:_="" ns4:_="">
    <xsd:import namespace="244682df-a1dc-412b-9389-3afdd60edf1c"/>
    <xsd:import namespace="fbb2131b-6e5a-4b91-b463-35b30741a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82df-a1dc-412b-9389-3afdd60e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131b-6e5a-4b91-b463-35b30741a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D74E-F3FC-4491-9969-CBC553DC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82df-a1dc-412b-9389-3afdd60edf1c"/>
    <ds:schemaRef ds:uri="fbb2131b-6e5a-4b91-b463-35b30741a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78C68-2B6E-420E-9861-C1DB611A1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2CE09-6E7E-4F35-87D3-5E8753368DF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fbb2131b-6e5a-4b91-b463-35b30741ac4c"/>
    <ds:schemaRef ds:uri="244682df-a1dc-412b-9389-3afdd60edf1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A7B2DB-525E-4C07-BA69-626ED5F2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TrialScope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Keith.Rodgers@trialscopeinc.com</dc:creator>
  <cp:lastModifiedBy>Jonathan Volpe</cp:lastModifiedBy>
  <cp:revision>2</cp:revision>
  <dcterms:created xsi:type="dcterms:W3CDTF">2020-07-08T17:12:00Z</dcterms:created>
  <dcterms:modified xsi:type="dcterms:W3CDTF">2020-07-08T17:12:00Z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0x010100DE1A22A045E90749AFB46ED9E88CD214</vt:lpwstr>
  </property>
</Properties>
</file>