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Layout w:type="fixed"/>
        <w:tblCellMar>
          <w:left w:w="0" w:type="dxa"/>
          <w:right w:w="0" w:type="dxa"/>
        </w:tblCellMar>
        <w:tblLook w:val="0000" w:firstRow="0" w:lastRow="0" w:firstColumn="0" w:lastColumn="0" w:noHBand="0" w:noVBand="0"/>
      </w:tblPr>
      <w:tblGrid>
        <w:gridCol w:w="3686"/>
        <w:gridCol w:w="1268"/>
        <w:gridCol w:w="8"/>
        <w:gridCol w:w="1559"/>
        <w:gridCol w:w="2552"/>
      </w:tblGrid>
      <w:tr w:rsidR="006D75A3" w:rsidTr="00732889">
        <w:tblPrEx>
          <w:tblCellMar>
            <w:top w:w="0" w:type="dxa"/>
            <w:left w:w="0" w:type="dxa"/>
            <w:bottom w:w="0" w:type="dxa"/>
            <w:right w:w="0" w:type="dxa"/>
          </w:tblCellMar>
        </w:tblPrEx>
        <w:trPr>
          <w:cantSplit/>
          <w:trHeight w:hRule="exact" w:val="360"/>
        </w:trPr>
        <w:tc>
          <w:tcPr>
            <w:tcW w:w="4954" w:type="dxa"/>
            <w:gridSpan w:val="2"/>
          </w:tcPr>
          <w:p w:rsidR="006D75A3" w:rsidRDefault="006D75A3" w:rsidP="00732889">
            <w:pPr>
              <w:pStyle w:val="A-Guided"/>
            </w:pPr>
            <w:bookmarkStart w:id="0" w:name="_Hlk58846149"/>
          </w:p>
        </w:tc>
        <w:tc>
          <w:tcPr>
            <w:tcW w:w="4119" w:type="dxa"/>
            <w:gridSpan w:val="3"/>
            <w:tcBorders>
              <w:top w:val="single" w:sz="4" w:space="0" w:color="auto"/>
            </w:tcBorders>
          </w:tcPr>
          <w:p w:rsidR="006D75A3" w:rsidRDefault="006D75A3" w:rsidP="00732889">
            <w:pPr>
              <w:pStyle w:val="z-documentname"/>
              <w:rPr>
                <w:lang w:val="en-GB"/>
              </w:rPr>
            </w:pPr>
            <w:r>
              <w:t>Clinical Study Report Synopsis</w:t>
            </w:r>
          </w:p>
        </w:tc>
      </w:tr>
      <w:tr w:rsidR="006D75A3" w:rsidTr="00732889">
        <w:tblPrEx>
          <w:tblCellMar>
            <w:top w:w="0" w:type="dxa"/>
            <w:left w:w="0" w:type="dxa"/>
            <w:bottom w:w="0" w:type="dxa"/>
            <w:right w:w="0" w:type="dxa"/>
          </w:tblCellMar>
        </w:tblPrEx>
        <w:trPr>
          <w:cantSplit/>
          <w:trHeight w:hRule="exact" w:val="360"/>
        </w:trPr>
        <w:tc>
          <w:tcPr>
            <w:tcW w:w="4962" w:type="dxa"/>
            <w:gridSpan w:val="3"/>
          </w:tcPr>
          <w:p w:rsidR="006D75A3" w:rsidRDefault="006D75A3" w:rsidP="00732889">
            <w:pPr>
              <w:pStyle w:val="A-Guided"/>
            </w:pPr>
          </w:p>
        </w:tc>
        <w:tc>
          <w:tcPr>
            <w:tcW w:w="1559" w:type="dxa"/>
          </w:tcPr>
          <w:p w:rsidR="006D75A3" w:rsidRDefault="006D75A3" w:rsidP="00732889">
            <w:pPr>
              <w:pStyle w:val="A-Guided"/>
            </w:pPr>
            <w:r>
              <w:t>Drug Substance</w:t>
            </w:r>
          </w:p>
        </w:tc>
        <w:tc>
          <w:tcPr>
            <w:tcW w:w="2552" w:type="dxa"/>
            <w:vAlign w:val="center"/>
          </w:tcPr>
          <w:p w:rsidR="006D75A3" w:rsidRPr="00F26C93" w:rsidRDefault="006D75A3" w:rsidP="00732889">
            <w:pPr>
              <w:pStyle w:val="Z-DrugSubstance"/>
              <w:rPr>
                <w:sz w:val="20"/>
                <w:szCs w:val="20"/>
              </w:rPr>
            </w:pPr>
            <w:r w:rsidRPr="00F26C93">
              <w:rPr>
                <w:sz w:val="20"/>
                <w:szCs w:val="20"/>
              </w:rPr>
              <w:t>Dapagliflozin</w:t>
            </w:r>
          </w:p>
        </w:tc>
      </w:tr>
      <w:tr w:rsidR="006D75A3" w:rsidTr="00732889">
        <w:tblPrEx>
          <w:tblCellMar>
            <w:top w:w="0" w:type="dxa"/>
            <w:left w:w="0" w:type="dxa"/>
            <w:bottom w:w="0" w:type="dxa"/>
            <w:right w:w="0" w:type="dxa"/>
          </w:tblCellMar>
        </w:tblPrEx>
        <w:trPr>
          <w:cantSplit/>
          <w:trHeight w:hRule="exact" w:val="360"/>
        </w:trPr>
        <w:tc>
          <w:tcPr>
            <w:tcW w:w="4962" w:type="dxa"/>
            <w:gridSpan w:val="3"/>
          </w:tcPr>
          <w:p w:rsidR="006D75A3" w:rsidRDefault="006D75A3" w:rsidP="00732889">
            <w:pPr>
              <w:pStyle w:val="A-Guided"/>
            </w:pPr>
          </w:p>
        </w:tc>
        <w:tc>
          <w:tcPr>
            <w:tcW w:w="1559" w:type="dxa"/>
          </w:tcPr>
          <w:p w:rsidR="006D75A3" w:rsidRDefault="006D75A3" w:rsidP="00732889">
            <w:pPr>
              <w:pStyle w:val="A-Guided"/>
            </w:pPr>
            <w:r>
              <w:t>Study Code</w:t>
            </w:r>
          </w:p>
        </w:tc>
        <w:tc>
          <w:tcPr>
            <w:tcW w:w="2552" w:type="dxa"/>
          </w:tcPr>
          <w:p w:rsidR="006D75A3" w:rsidRPr="00F26C93" w:rsidRDefault="006D75A3" w:rsidP="00732889">
            <w:pPr>
              <w:pStyle w:val="Z-StudyCode"/>
              <w:rPr>
                <w:sz w:val="20"/>
                <w:szCs w:val="20"/>
              </w:rPr>
            </w:pPr>
            <w:r w:rsidRPr="00F26C93">
              <w:rPr>
                <w:sz w:val="20"/>
                <w:szCs w:val="20"/>
              </w:rPr>
              <w:t>D1690R00015</w:t>
            </w:r>
          </w:p>
        </w:tc>
      </w:tr>
      <w:tr w:rsidR="006D75A3" w:rsidTr="00732889">
        <w:tblPrEx>
          <w:tblCellMar>
            <w:top w:w="0" w:type="dxa"/>
            <w:left w:w="0" w:type="dxa"/>
            <w:bottom w:w="0" w:type="dxa"/>
            <w:right w:w="0" w:type="dxa"/>
          </w:tblCellMar>
        </w:tblPrEx>
        <w:trPr>
          <w:cantSplit/>
          <w:trHeight w:hRule="exact" w:val="360"/>
        </w:trPr>
        <w:tc>
          <w:tcPr>
            <w:tcW w:w="4962" w:type="dxa"/>
            <w:gridSpan w:val="3"/>
          </w:tcPr>
          <w:p w:rsidR="006D75A3" w:rsidRDefault="006D75A3" w:rsidP="00732889">
            <w:pPr>
              <w:pStyle w:val="A-Guided"/>
            </w:pPr>
          </w:p>
        </w:tc>
        <w:tc>
          <w:tcPr>
            <w:tcW w:w="1559" w:type="dxa"/>
          </w:tcPr>
          <w:p w:rsidR="006D75A3" w:rsidRDefault="006D75A3" w:rsidP="00732889">
            <w:pPr>
              <w:pStyle w:val="A-Guided"/>
            </w:pPr>
            <w:r>
              <w:t>Edition Number</w:t>
            </w:r>
          </w:p>
        </w:tc>
        <w:tc>
          <w:tcPr>
            <w:tcW w:w="2552" w:type="dxa"/>
            <w:vAlign w:val="center"/>
          </w:tcPr>
          <w:p w:rsidR="006D75A3" w:rsidRPr="00F26C93" w:rsidRDefault="006D75A3" w:rsidP="00732889">
            <w:pPr>
              <w:pStyle w:val="Z-EditionNo"/>
              <w:rPr>
                <w:sz w:val="20"/>
              </w:rPr>
            </w:pPr>
            <w:r w:rsidRPr="00F26C93">
              <w:rPr>
                <w:sz w:val="20"/>
              </w:rPr>
              <w:t>1.0</w:t>
            </w:r>
          </w:p>
        </w:tc>
      </w:tr>
      <w:tr w:rsidR="006D75A3" w:rsidTr="00732889">
        <w:tblPrEx>
          <w:tblCellMar>
            <w:top w:w="0" w:type="dxa"/>
            <w:left w:w="0" w:type="dxa"/>
            <w:bottom w:w="0" w:type="dxa"/>
            <w:right w:w="0" w:type="dxa"/>
          </w:tblCellMar>
        </w:tblPrEx>
        <w:trPr>
          <w:cantSplit/>
          <w:trHeight w:hRule="exact" w:val="360"/>
        </w:trPr>
        <w:tc>
          <w:tcPr>
            <w:tcW w:w="4962" w:type="dxa"/>
            <w:gridSpan w:val="3"/>
          </w:tcPr>
          <w:p w:rsidR="006D75A3" w:rsidRDefault="006D75A3" w:rsidP="00732889">
            <w:pPr>
              <w:pStyle w:val="A-Guided"/>
            </w:pPr>
          </w:p>
        </w:tc>
        <w:tc>
          <w:tcPr>
            <w:tcW w:w="1559" w:type="dxa"/>
            <w:tcBorders>
              <w:bottom w:val="single" w:sz="4" w:space="0" w:color="auto"/>
            </w:tcBorders>
          </w:tcPr>
          <w:p w:rsidR="006D75A3" w:rsidRDefault="006D75A3" w:rsidP="00732889">
            <w:pPr>
              <w:pStyle w:val="A-Guided"/>
            </w:pPr>
            <w:r>
              <w:t>Date</w:t>
            </w:r>
          </w:p>
        </w:tc>
        <w:tc>
          <w:tcPr>
            <w:tcW w:w="2552" w:type="dxa"/>
            <w:tcBorders>
              <w:bottom w:val="single" w:sz="4" w:space="0" w:color="auto"/>
            </w:tcBorders>
            <w:vAlign w:val="center"/>
          </w:tcPr>
          <w:p w:rsidR="006D75A3" w:rsidRPr="00F26C93" w:rsidRDefault="006D75A3" w:rsidP="00732889">
            <w:pPr>
              <w:pStyle w:val="Z-Date"/>
              <w:rPr>
                <w:sz w:val="20"/>
                <w:szCs w:val="20"/>
              </w:rPr>
            </w:pPr>
            <w:r>
              <w:rPr>
                <w:sz w:val="20"/>
                <w:szCs w:val="20"/>
              </w:rPr>
              <w:t xml:space="preserve"> 15 Dec 2020</w:t>
            </w:r>
          </w:p>
        </w:tc>
      </w:tr>
      <w:tr w:rsidR="006D75A3" w:rsidTr="00732889">
        <w:tblPrEx>
          <w:tblCellMar>
            <w:top w:w="0" w:type="dxa"/>
            <w:left w:w="0" w:type="dxa"/>
            <w:bottom w:w="0" w:type="dxa"/>
            <w:right w:w="0" w:type="dxa"/>
          </w:tblCellMar>
        </w:tblPrEx>
        <w:trPr>
          <w:cantSplit/>
          <w:trHeight w:hRule="exact" w:val="360"/>
        </w:trPr>
        <w:tc>
          <w:tcPr>
            <w:tcW w:w="4962" w:type="dxa"/>
            <w:gridSpan w:val="3"/>
          </w:tcPr>
          <w:p w:rsidR="006D75A3" w:rsidRDefault="006D75A3" w:rsidP="00732889">
            <w:pPr>
              <w:pStyle w:val="A-Guided"/>
            </w:pPr>
          </w:p>
        </w:tc>
        <w:tc>
          <w:tcPr>
            <w:tcW w:w="1559" w:type="dxa"/>
            <w:tcBorders>
              <w:top w:val="single" w:sz="4" w:space="0" w:color="auto"/>
            </w:tcBorders>
          </w:tcPr>
          <w:p w:rsidR="006D75A3" w:rsidRDefault="006D75A3" w:rsidP="00732889">
            <w:pPr>
              <w:pStyle w:val="A-Guided"/>
            </w:pPr>
            <w:r>
              <w:t>EudraCT Number</w:t>
            </w:r>
          </w:p>
        </w:tc>
        <w:tc>
          <w:tcPr>
            <w:tcW w:w="2552" w:type="dxa"/>
            <w:tcBorders>
              <w:top w:val="single" w:sz="4" w:space="0" w:color="auto"/>
            </w:tcBorders>
            <w:vAlign w:val="center"/>
          </w:tcPr>
          <w:p w:rsidR="006D75A3" w:rsidRDefault="006D75A3" w:rsidP="00732889">
            <w:pPr>
              <w:pStyle w:val="A-Guided"/>
            </w:pPr>
          </w:p>
        </w:tc>
      </w:tr>
      <w:tr w:rsidR="006D75A3" w:rsidTr="00732889">
        <w:tblPrEx>
          <w:tblCellMar>
            <w:top w:w="0" w:type="dxa"/>
            <w:left w:w="0" w:type="dxa"/>
            <w:bottom w:w="0" w:type="dxa"/>
            <w:right w:w="0" w:type="dxa"/>
          </w:tblCellMar>
        </w:tblPrEx>
        <w:trPr>
          <w:cantSplit/>
          <w:trHeight w:hRule="exact" w:val="360"/>
        </w:trPr>
        <w:tc>
          <w:tcPr>
            <w:tcW w:w="4962" w:type="dxa"/>
            <w:gridSpan w:val="3"/>
          </w:tcPr>
          <w:p w:rsidR="006D75A3" w:rsidRDefault="006D75A3" w:rsidP="00732889">
            <w:pPr>
              <w:pStyle w:val="A-Guided"/>
            </w:pPr>
          </w:p>
        </w:tc>
        <w:tc>
          <w:tcPr>
            <w:tcW w:w="1559" w:type="dxa"/>
          </w:tcPr>
          <w:p w:rsidR="006D75A3" w:rsidRPr="003613E2" w:rsidRDefault="006D75A3" w:rsidP="00732889">
            <w:pPr>
              <w:pStyle w:val="A-Guided"/>
            </w:pPr>
            <w:r w:rsidRPr="003613E2">
              <w:t>NCT Number</w:t>
            </w:r>
          </w:p>
        </w:tc>
        <w:tc>
          <w:tcPr>
            <w:tcW w:w="2552" w:type="dxa"/>
            <w:vAlign w:val="center"/>
          </w:tcPr>
          <w:p w:rsidR="006D75A3" w:rsidRPr="003613E2" w:rsidRDefault="006D75A3" w:rsidP="00732889">
            <w:pPr>
              <w:pStyle w:val="A-Guided"/>
            </w:pPr>
            <w:r>
              <w:t>NCT02993614</w:t>
            </w:r>
          </w:p>
        </w:tc>
      </w:tr>
      <w:tr w:rsidR="006D75A3" w:rsidTr="00732889">
        <w:tblPrEx>
          <w:tblCellMar>
            <w:top w:w="0" w:type="dxa"/>
            <w:left w:w="0" w:type="dxa"/>
            <w:bottom w:w="0" w:type="dxa"/>
            <w:right w:w="0" w:type="dxa"/>
          </w:tblCellMar>
        </w:tblPrEx>
        <w:trPr>
          <w:cantSplit/>
          <w:trHeight w:hRule="exact" w:val="240"/>
        </w:trPr>
        <w:tc>
          <w:tcPr>
            <w:tcW w:w="9073" w:type="dxa"/>
            <w:gridSpan w:val="5"/>
          </w:tcPr>
          <w:p w:rsidR="006D75A3" w:rsidRDefault="006D75A3" w:rsidP="00732889">
            <w:pPr>
              <w:pStyle w:val="A-Guided"/>
            </w:pPr>
          </w:p>
        </w:tc>
      </w:tr>
      <w:tr w:rsidR="006D75A3" w:rsidTr="00732889">
        <w:tblPrEx>
          <w:tblCellMar>
            <w:top w:w="0" w:type="dxa"/>
            <w:left w:w="0" w:type="dxa"/>
            <w:bottom w:w="0" w:type="dxa"/>
            <w:right w:w="0" w:type="dxa"/>
          </w:tblCellMar>
        </w:tblPrEx>
        <w:trPr>
          <w:cantSplit/>
          <w:trHeight w:hRule="exact" w:val="240"/>
        </w:trPr>
        <w:tc>
          <w:tcPr>
            <w:tcW w:w="9073" w:type="dxa"/>
            <w:gridSpan w:val="5"/>
            <w:tcBorders>
              <w:top w:val="single" w:sz="24" w:space="0" w:color="auto"/>
            </w:tcBorders>
          </w:tcPr>
          <w:p w:rsidR="006D75A3" w:rsidRDefault="006D75A3" w:rsidP="00732889">
            <w:pPr>
              <w:pStyle w:val="A-Guided"/>
            </w:pPr>
          </w:p>
        </w:tc>
      </w:tr>
      <w:tr w:rsidR="006D75A3" w:rsidTr="00732889">
        <w:tblPrEx>
          <w:tblCellMar>
            <w:top w:w="0" w:type="dxa"/>
            <w:left w:w="0" w:type="dxa"/>
            <w:bottom w:w="0" w:type="dxa"/>
            <w:right w:w="0" w:type="dxa"/>
          </w:tblCellMar>
        </w:tblPrEx>
        <w:trPr>
          <w:cantSplit/>
        </w:trPr>
        <w:tc>
          <w:tcPr>
            <w:tcW w:w="9073" w:type="dxa"/>
            <w:gridSpan w:val="5"/>
          </w:tcPr>
          <w:p w:rsidR="006D75A3" w:rsidRPr="008C5138" w:rsidRDefault="006D75A3" w:rsidP="00732889">
            <w:pPr>
              <w:spacing w:after="0" w:line="480" w:lineRule="auto"/>
              <w:rPr>
                <w:rFonts w:ascii="Arial" w:hAnsi="Arial"/>
                <w:sz w:val="28"/>
                <w:szCs w:val="28"/>
              </w:rPr>
            </w:pPr>
            <w:r w:rsidRPr="00DA5B79">
              <w:rPr>
                <w:b/>
                <w:sz w:val="28"/>
                <w:szCs w:val="28"/>
              </w:rPr>
              <w:t>Patient characteristics and cardiovascular and mortality outcomes in patients with high cardiovascular risk and type 2 diabetes mellitus initiating treatment with sodium-glucose co-transporter-2 inhibitors and other antidiabetic medications</w:t>
            </w:r>
          </w:p>
        </w:tc>
      </w:tr>
      <w:tr w:rsidR="006D75A3" w:rsidTr="00732889">
        <w:tblPrEx>
          <w:tblCellMar>
            <w:top w:w="0" w:type="dxa"/>
            <w:left w:w="0" w:type="dxa"/>
            <w:bottom w:w="0" w:type="dxa"/>
            <w:right w:w="0" w:type="dxa"/>
          </w:tblCellMar>
        </w:tblPrEx>
        <w:trPr>
          <w:cantSplit/>
          <w:trHeight w:hRule="exact" w:val="240"/>
        </w:trPr>
        <w:tc>
          <w:tcPr>
            <w:tcW w:w="9073" w:type="dxa"/>
            <w:gridSpan w:val="5"/>
            <w:tcBorders>
              <w:bottom w:val="single" w:sz="24" w:space="0" w:color="auto"/>
            </w:tcBorders>
          </w:tcPr>
          <w:p w:rsidR="006D75A3" w:rsidRDefault="006D75A3" w:rsidP="00732889">
            <w:pPr>
              <w:pStyle w:val="A-Heading1"/>
            </w:pPr>
          </w:p>
        </w:tc>
      </w:tr>
      <w:tr w:rsidR="006D75A3" w:rsidTr="00732889">
        <w:tblPrEx>
          <w:tblCellMar>
            <w:top w:w="0" w:type="dxa"/>
            <w:left w:w="0" w:type="dxa"/>
            <w:bottom w:w="0" w:type="dxa"/>
            <w:right w:w="0" w:type="dxa"/>
          </w:tblCellMar>
        </w:tblPrEx>
        <w:trPr>
          <w:cantSplit/>
        </w:trPr>
        <w:tc>
          <w:tcPr>
            <w:tcW w:w="9073" w:type="dxa"/>
            <w:gridSpan w:val="5"/>
          </w:tcPr>
          <w:p w:rsidR="006D75A3" w:rsidRDefault="006D75A3" w:rsidP="00732889">
            <w:pPr>
              <w:pStyle w:val="A-Guided"/>
            </w:pPr>
          </w:p>
        </w:tc>
      </w:tr>
      <w:tr w:rsidR="006D75A3" w:rsidTr="00732889">
        <w:tblPrEx>
          <w:tblCellMar>
            <w:top w:w="0" w:type="dxa"/>
            <w:left w:w="0" w:type="dxa"/>
            <w:bottom w:w="0" w:type="dxa"/>
            <w:right w:w="0" w:type="dxa"/>
          </w:tblCellMar>
        </w:tblPrEx>
        <w:trPr>
          <w:cantSplit/>
        </w:trPr>
        <w:tc>
          <w:tcPr>
            <w:tcW w:w="3686" w:type="dxa"/>
          </w:tcPr>
          <w:p w:rsidR="006D75A3" w:rsidRDefault="006D75A3" w:rsidP="00732889">
            <w:pPr>
              <w:pStyle w:val="A-GuidedBold"/>
            </w:pPr>
            <w:r>
              <w:t>Study dates:</w:t>
            </w:r>
          </w:p>
        </w:tc>
        <w:tc>
          <w:tcPr>
            <w:tcW w:w="5387" w:type="dxa"/>
            <w:gridSpan w:val="4"/>
          </w:tcPr>
          <w:p w:rsidR="006D75A3" w:rsidRDefault="006D75A3" w:rsidP="00732889">
            <w:pPr>
              <w:pStyle w:val="A-Guided"/>
            </w:pPr>
            <w:r>
              <w:t>First subject enrolled: 30 Nov 2017</w:t>
            </w:r>
          </w:p>
          <w:p w:rsidR="006D75A3" w:rsidRDefault="006D75A3" w:rsidP="00732889">
            <w:pPr>
              <w:pStyle w:val="A-Guided"/>
            </w:pPr>
            <w:r>
              <w:t>Last subject last visit: 31 Dec 2019</w:t>
            </w:r>
          </w:p>
        </w:tc>
      </w:tr>
      <w:tr w:rsidR="006D75A3" w:rsidTr="00732889">
        <w:tblPrEx>
          <w:tblCellMar>
            <w:top w:w="0" w:type="dxa"/>
            <w:left w:w="0" w:type="dxa"/>
            <w:bottom w:w="0" w:type="dxa"/>
            <w:right w:w="0" w:type="dxa"/>
          </w:tblCellMar>
        </w:tblPrEx>
        <w:trPr>
          <w:cantSplit/>
        </w:trPr>
        <w:tc>
          <w:tcPr>
            <w:tcW w:w="3686" w:type="dxa"/>
          </w:tcPr>
          <w:p w:rsidR="006D75A3" w:rsidRDefault="006D75A3" w:rsidP="00732889">
            <w:pPr>
              <w:pStyle w:val="A-GuidedBold"/>
            </w:pPr>
            <w:r>
              <w:t>Phase of development:</w:t>
            </w:r>
          </w:p>
        </w:tc>
        <w:tc>
          <w:tcPr>
            <w:tcW w:w="5387" w:type="dxa"/>
            <w:gridSpan w:val="4"/>
          </w:tcPr>
          <w:p w:rsidR="006D75A3" w:rsidRDefault="006D75A3" w:rsidP="00732889">
            <w:pPr>
              <w:pStyle w:val="A-Guided"/>
            </w:pPr>
            <w:r>
              <w:t>Therapeutic use (IV)</w:t>
            </w:r>
          </w:p>
        </w:tc>
      </w:tr>
      <w:tr w:rsidR="006D75A3" w:rsidTr="00732889">
        <w:tblPrEx>
          <w:tblCellMar>
            <w:top w:w="0" w:type="dxa"/>
            <w:left w:w="0" w:type="dxa"/>
            <w:bottom w:w="0" w:type="dxa"/>
            <w:right w:w="0" w:type="dxa"/>
          </w:tblCellMar>
        </w:tblPrEx>
        <w:trPr>
          <w:cantSplit/>
          <w:trHeight w:val="702"/>
        </w:trPr>
        <w:tc>
          <w:tcPr>
            <w:tcW w:w="3686" w:type="dxa"/>
          </w:tcPr>
          <w:p w:rsidR="006D75A3" w:rsidRDefault="006D75A3" w:rsidP="00732889">
            <w:pPr>
              <w:pStyle w:val="A-GuidedBold"/>
            </w:pPr>
            <w:r>
              <w:t xml:space="preserve">International Co-ordinating Investigator: </w:t>
            </w:r>
          </w:p>
        </w:tc>
        <w:tc>
          <w:tcPr>
            <w:tcW w:w="5387" w:type="dxa"/>
            <w:gridSpan w:val="4"/>
          </w:tcPr>
          <w:p w:rsidR="00FF47E6" w:rsidRDefault="00FF47E6" w:rsidP="00732889">
            <w:pPr>
              <w:pStyle w:val="A-Guided"/>
            </w:pPr>
            <w:bookmarkStart w:id="1" w:name="_GoBack"/>
            <w:bookmarkEnd w:id="1"/>
          </w:p>
        </w:tc>
      </w:tr>
      <w:tr w:rsidR="006D75A3" w:rsidTr="00732889">
        <w:tblPrEx>
          <w:tblCellMar>
            <w:top w:w="0" w:type="dxa"/>
            <w:left w:w="0" w:type="dxa"/>
            <w:bottom w:w="0" w:type="dxa"/>
            <w:right w:w="0" w:type="dxa"/>
          </w:tblCellMar>
        </w:tblPrEx>
        <w:trPr>
          <w:cantSplit/>
        </w:trPr>
        <w:tc>
          <w:tcPr>
            <w:tcW w:w="3686" w:type="dxa"/>
          </w:tcPr>
          <w:p w:rsidR="006D75A3" w:rsidRDefault="006D75A3" w:rsidP="00732889">
            <w:pPr>
              <w:pStyle w:val="A-GuidedBold"/>
            </w:pPr>
            <w:r>
              <w:t>Sponsor’s Responsible Medical Officer:</w:t>
            </w:r>
          </w:p>
        </w:tc>
        <w:tc>
          <w:tcPr>
            <w:tcW w:w="5387" w:type="dxa"/>
            <w:gridSpan w:val="4"/>
          </w:tcPr>
          <w:p w:rsidR="006D75A3" w:rsidRPr="00F44ADA" w:rsidRDefault="006D75A3" w:rsidP="00732889">
            <w:pPr>
              <w:pStyle w:val="A-Guided"/>
            </w:pPr>
          </w:p>
        </w:tc>
      </w:tr>
      <w:tr w:rsidR="006D75A3" w:rsidTr="00732889">
        <w:tblPrEx>
          <w:tblCellMar>
            <w:top w:w="0" w:type="dxa"/>
            <w:left w:w="0" w:type="dxa"/>
            <w:bottom w:w="0" w:type="dxa"/>
            <w:right w:w="0" w:type="dxa"/>
          </w:tblCellMar>
        </w:tblPrEx>
        <w:trPr>
          <w:cantSplit/>
        </w:trPr>
        <w:tc>
          <w:tcPr>
            <w:tcW w:w="3686" w:type="dxa"/>
          </w:tcPr>
          <w:p w:rsidR="006D75A3" w:rsidRDefault="006D75A3" w:rsidP="00732889">
            <w:pPr>
              <w:pStyle w:val="A-GuidedBold"/>
              <w:rPr>
                <w:sz w:val="22"/>
              </w:rPr>
            </w:pPr>
          </w:p>
        </w:tc>
        <w:tc>
          <w:tcPr>
            <w:tcW w:w="5387" w:type="dxa"/>
            <w:gridSpan w:val="4"/>
          </w:tcPr>
          <w:p w:rsidR="006D75A3" w:rsidRDefault="006D75A3" w:rsidP="00732889">
            <w:pPr>
              <w:pStyle w:val="A-Guided"/>
              <w:rPr>
                <w:sz w:val="22"/>
              </w:rPr>
            </w:pPr>
          </w:p>
        </w:tc>
      </w:tr>
      <w:tr w:rsidR="006D75A3" w:rsidTr="00732889">
        <w:tblPrEx>
          <w:tblCellMar>
            <w:top w:w="0" w:type="dxa"/>
            <w:left w:w="0" w:type="dxa"/>
            <w:bottom w:w="0" w:type="dxa"/>
            <w:right w:w="0" w:type="dxa"/>
          </w:tblCellMar>
        </w:tblPrEx>
        <w:trPr>
          <w:cantSplit/>
        </w:trPr>
        <w:tc>
          <w:tcPr>
            <w:tcW w:w="9073" w:type="dxa"/>
            <w:gridSpan w:val="5"/>
          </w:tcPr>
          <w:p w:rsidR="006D75A3" w:rsidRDefault="006D75A3" w:rsidP="00732889">
            <w:pPr>
              <w:pStyle w:val="A-Single"/>
              <w:rPr>
                <w:sz w:val="20"/>
              </w:rPr>
            </w:pPr>
            <w:r>
              <w:rPr>
                <w:sz w:val="20"/>
              </w:rPr>
              <w:t xml:space="preserve">This study was performed in compliance with Good Clinical Practice, including the archiving of essential documents.  </w:t>
            </w:r>
          </w:p>
        </w:tc>
      </w:tr>
      <w:tr w:rsidR="006D75A3" w:rsidTr="00732889">
        <w:tblPrEx>
          <w:tblCellMar>
            <w:top w:w="0" w:type="dxa"/>
            <w:left w:w="0" w:type="dxa"/>
            <w:bottom w:w="0" w:type="dxa"/>
            <w:right w:w="0" w:type="dxa"/>
          </w:tblCellMar>
        </w:tblPrEx>
        <w:trPr>
          <w:cantSplit/>
        </w:trPr>
        <w:tc>
          <w:tcPr>
            <w:tcW w:w="9073" w:type="dxa"/>
            <w:gridSpan w:val="5"/>
          </w:tcPr>
          <w:p w:rsidR="006D75A3" w:rsidRDefault="006D75A3" w:rsidP="00732889">
            <w:pPr>
              <w:pStyle w:val="A-Single"/>
              <w:rPr>
                <w:sz w:val="20"/>
              </w:rPr>
            </w:pPr>
            <w:r>
              <w:rPr>
                <w:sz w:val="20"/>
              </w:rPr>
              <w:t>This submission /document contains trade secrets and confidential commercial information, disclosure of which is prohibited without providing advance notice to AstraZeneca and opportunity to object.</w:t>
            </w:r>
          </w:p>
        </w:tc>
      </w:tr>
    </w:tbl>
    <w:p w:rsidR="006D75A3" w:rsidRDefault="006D75A3" w:rsidP="006D75A3"/>
    <w:p w:rsidR="006D75A3" w:rsidRDefault="006D75A3" w:rsidP="006D75A3">
      <w:pPr>
        <w:sectPr w:rsidR="006D75A3" w:rsidSect="003613E2">
          <w:headerReference w:type="default" r:id="rId5"/>
          <w:footerReference w:type="default" r:id="rId6"/>
          <w:footerReference w:type="first" r:id="rId7"/>
          <w:pgSz w:w="12242" w:h="15842" w:code="1"/>
          <w:pgMar w:top="1701" w:right="1440" w:bottom="1440" w:left="1701" w:header="731" w:footer="731" w:gutter="0"/>
          <w:pgNumType w:start="1"/>
          <w:cols w:space="720"/>
          <w:titlePg/>
          <w:docGrid w:linePitch="326"/>
        </w:sectPr>
      </w:pPr>
    </w:p>
    <w:p w:rsidR="006D75A3" w:rsidRDefault="006D75A3" w:rsidP="006D75A3"/>
    <w:p w:rsidR="006D75A3" w:rsidRDefault="006D75A3" w:rsidP="006D75A3">
      <w:pPr>
        <w:pStyle w:val="A-Unassigned"/>
        <w:keepNext w:val="0"/>
        <w:outlineLvl w:val="0"/>
      </w:pPr>
      <w:r>
        <w:t>Study centre(s)</w:t>
      </w:r>
    </w:p>
    <w:p w:rsidR="006D75A3" w:rsidRDefault="006D75A3" w:rsidP="006D75A3">
      <w:r>
        <w:t>Number of centres, countries: 17</w:t>
      </w:r>
    </w:p>
    <w:p w:rsidR="006D75A3" w:rsidRDefault="006D75A3" w:rsidP="006D75A3">
      <w:pPr>
        <w:pStyle w:val="A-Unassigned"/>
        <w:outlineLvl w:val="0"/>
      </w:pPr>
      <w:r>
        <w:t>Publications</w:t>
      </w:r>
    </w:p>
    <w:p w:rsidR="006D75A3" w:rsidRDefault="006D75A3" w:rsidP="006D75A3">
      <w:pPr>
        <w:pStyle w:val="DapaBiblioListing"/>
        <w:numPr>
          <w:ilvl w:val="0"/>
          <w:numId w:val="0"/>
        </w:numPr>
        <w:ind w:left="360" w:hanging="360"/>
        <w:rPr>
          <w:rStyle w:val="Hyperlink"/>
          <w:color w:val="auto"/>
        </w:rPr>
      </w:pPr>
      <w:r>
        <w:rPr>
          <w:color w:val="auto"/>
        </w:rPr>
        <w:t xml:space="preserve">1. </w:t>
      </w:r>
      <w:r>
        <w:rPr>
          <w:color w:val="auto"/>
        </w:rPr>
        <w:tab/>
      </w:r>
      <w:proofErr w:type="spellStart"/>
      <w:r w:rsidRPr="00D27C5F">
        <w:rPr>
          <w:color w:val="auto"/>
        </w:rPr>
        <w:t>Kidney</w:t>
      </w:r>
      <w:proofErr w:type="spellEnd"/>
      <w:r w:rsidRPr="00D27C5F">
        <w:rPr>
          <w:color w:val="auto"/>
        </w:rPr>
        <w:t xml:space="preserve"> </w:t>
      </w:r>
      <w:proofErr w:type="spellStart"/>
      <w:r w:rsidRPr="00D27C5F">
        <w:rPr>
          <w:color w:val="auto"/>
        </w:rPr>
        <w:t>outcomes</w:t>
      </w:r>
      <w:proofErr w:type="spellEnd"/>
      <w:r w:rsidRPr="00D27C5F">
        <w:rPr>
          <w:color w:val="auto"/>
        </w:rPr>
        <w:t xml:space="preserve"> </w:t>
      </w:r>
      <w:proofErr w:type="spellStart"/>
      <w:r w:rsidRPr="00D27C5F">
        <w:rPr>
          <w:color w:val="auto"/>
        </w:rPr>
        <w:t>associated</w:t>
      </w:r>
      <w:proofErr w:type="spellEnd"/>
      <w:r w:rsidRPr="00D27C5F">
        <w:rPr>
          <w:color w:val="auto"/>
        </w:rPr>
        <w:t xml:space="preserve"> </w:t>
      </w:r>
      <w:proofErr w:type="spellStart"/>
      <w:r w:rsidRPr="00D27C5F">
        <w:rPr>
          <w:color w:val="auto"/>
        </w:rPr>
        <w:t>with</w:t>
      </w:r>
      <w:proofErr w:type="spellEnd"/>
      <w:r w:rsidRPr="00D27C5F">
        <w:rPr>
          <w:color w:val="auto"/>
        </w:rPr>
        <w:t xml:space="preserve"> use of SGLT2 </w:t>
      </w:r>
      <w:proofErr w:type="spellStart"/>
      <w:r w:rsidRPr="00D27C5F">
        <w:rPr>
          <w:color w:val="auto"/>
        </w:rPr>
        <w:t>inhibitors</w:t>
      </w:r>
      <w:proofErr w:type="spellEnd"/>
      <w:r w:rsidRPr="00D27C5F">
        <w:rPr>
          <w:color w:val="auto"/>
        </w:rPr>
        <w:t xml:space="preserve"> in real-world </w:t>
      </w:r>
      <w:proofErr w:type="spellStart"/>
      <w:r w:rsidRPr="00D27C5F">
        <w:rPr>
          <w:color w:val="auto"/>
        </w:rPr>
        <w:t>clinical</w:t>
      </w:r>
      <w:proofErr w:type="spellEnd"/>
      <w:r w:rsidRPr="00D27C5F">
        <w:rPr>
          <w:color w:val="auto"/>
        </w:rPr>
        <w:t xml:space="preserve"> practice</w:t>
      </w:r>
      <w:r>
        <w:rPr>
          <w:color w:val="auto"/>
        </w:rPr>
        <w:t xml:space="preserve"> </w:t>
      </w:r>
      <w:r w:rsidRPr="00D27C5F">
        <w:rPr>
          <w:color w:val="auto"/>
        </w:rPr>
        <w:t>(CVD</w:t>
      </w:r>
      <w:r>
        <w:rPr>
          <w:color w:val="auto"/>
        </w:rPr>
        <w:t>-</w:t>
      </w:r>
      <w:r w:rsidRPr="00D27C5F">
        <w:rPr>
          <w:color w:val="auto"/>
        </w:rPr>
        <w:t xml:space="preserve">REAL 3): </w:t>
      </w:r>
      <w:proofErr w:type="spellStart"/>
      <w:r w:rsidRPr="00D27C5F">
        <w:rPr>
          <w:color w:val="auto"/>
        </w:rPr>
        <w:t>a</w:t>
      </w:r>
      <w:proofErr w:type="spellEnd"/>
      <w:r w:rsidRPr="00D27C5F">
        <w:rPr>
          <w:color w:val="auto"/>
        </w:rPr>
        <w:t xml:space="preserve"> multinational </w:t>
      </w:r>
      <w:proofErr w:type="spellStart"/>
      <w:r w:rsidRPr="00D27C5F">
        <w:rPr>
          <w:color w:val="auto"/>
        </w:rPr>
        <w:t>observational</w:t>
      </w:r>
      <w:proofErr w:type="spellEnd"/>
      <w:r w:rsidRPr="00D27C5F">
        <w:rPr>
          <w:color w:val="auto"/>
        </w:rPr>
        <w:t xml:space="preserve"> </w:t>
      </w:r>
      <w:proofErr w:type="spellStart"/>
      <w:r w:rsidRPr="00D27C5F">
        <w:rPr>
          <w:color w:val="auto"/>
        </w:rPr>
        <w:t>cohort</w:t>
      </w:r>
      <w:proofErr w:type="spellEnd"/>
      <w:r w:rsidRPr="00D27C5F">
        <w:rPr>
          <w:color w:val="auto"/>
        </w:rPr>
        <w:t xml:space="preserve"> </w:t>
      </w:r>
      <w:proofErr w:type="spellStart"/>
      <w:r w:rsidRPr="00D27C5F">
        <w:rPr>
          <w:color w:val="auto"/>
        </w:rPr>
        <w:t>study</w:t>
      </w:r>
      <w:proofErr w:type="spellEnd"/>
      <w:r w:rsidRPr="00D27C5F">
        <w:rPr>
          <w:color w:val="auto"/>
        </w:rPr>
        <w:t xml:space="preserve">. Heerspink, HJL, Karasik A, Thuresson M, Melzer-Cohen C, </w:t>
      </w:r>
      <w:proofErr w:type="spellStart"/>
      <w:r w:rsidRPr="00D27C5F">
        <w:rPr>
          <w:color w:val="auto"/>
        </w:rPr>
        <w:t>Chodick</w:t>
      </w:r>
      <w:proofErr w:type="spellEnd"/>
      <w:r w:rsidRPr="00D27C5F">
        <w:rPr>
          <w:color w:val="auto"/>
        </w:rPr>
        <w:t xml:space="preserve"> G, Khunti K. </w:t>
      </w:r>
      <w:hyperlink r:id="rId8" w:history="1">
        <w:r w:rsidRPr="00D27C5F">
          <w:rPr>
            <w:rStyle w:val="Hyperlink"/>
            <w:i/>
            <w:color w:val="auto"/>
          </w:rPr>
          <w:t>Lancet Diabetes &amp; Endocrinology.</w:t>
        </w:r>
        <w:r w:rsidRPr="00D27C5F">
          <w:rPr>
            <w:rStyle w:val="Hyperlink"/>
            <w:color w:val="auto"/>
          </w:rPr>
          <w:t xml:space="preserve"> 2019;8:27-35. Doi : https://doi.org/10.1016/S2213-8587(19)30384-5.</w:t>
        </w:r>
      </w:hyperlink>
    </w:p>
    <w:p w:rsidR="006D75A3" w:rsidRDefault="006D75A3" w:rsidP="006D75A3">
      <w:pPr>
        <w:pStyle w:val="DapaBiblioListing"/>
        <w:numPr>
          <w:ilvl w:val="0"/>
          <w:numId w:val="0"/>
        </w:numPr>
        <w:ind w:left="360" w:hanging="360"/>
        <w:rPr>
          <w:rStyle w:val="Hyperlink"/>
          <w:color w:val="auto"/>
        </w:rPr>
      </w:pPr>
      <w:r w:rsidRPr="006D75A3">
        <w:rPr>
          <w:rStyle w:val="Hyperlink"/>
          <w:color w:val="auto"/>
          <w:u w:val="none"/>
        </w:rPr>
        <w:t xml:space="preserve">2.  </w:t>
      </w:r>
      <w:r w:rsidRPr="006D75A3">
        <w:rPr>
          <w:szCs w:val="22"/>
        </w:rPr>
        <w:t xml:space="preserve"> </w:t>
      </w:r>
      <w:r w:rsidRPr="006D75A3">
        <w:rPr>
          <w:color w:val="auto"/>
        </w:rPr>
        <w:t>Rates</w:t>
      </w:r>
      <w:r w:rsidRPr="00D27C5F">
        <w:rPr>
          <w:color w:val="auto"/>
        </w:rPr>
        <w:t xml:space="preserve"> of </w:t>
      </w:r>
      <w:proofErr w:type="spellStart"/>
      <w:r w:rsidRPr="00D27C5F">
        <w:rPr>
          <w:color w:val="auto"/>
        </w:rPr>
        <w:t>myocardial</w:t>
      </w:r>
      <w:proofErr w:type="spellEnd"/>
      <w:r w:rsidRPr="00D27C5F">
        <w:rPr>
          <w:color w:val="auto"/>
        </w:rPr>
        <w:t xml:space="preserve"> </w:t>
      </w:r>
      <w:proofErr w:type="spellStart"/>
      <w:r w:rsidRPr="00D27C5F">
        <w:rPr>
          <w:color w:val="auto"/>
        </w:rPr>
        <w:t>infarction</w:t>
      </w:r>
      <w:proofErr w:type="spellEnd"/>
      <w:r w:rsidRPr="00D27C5F">
        <w:rPr>
          <w:color w:val="auto"/>
        </w:rPr>
        <w:t xml:space="preserve"> and stroke in patients </w:t>
      </w:r>
      <w:proofErr w:type="spellStart"/>
      <w:r w:rsidRPr="00D27C5F">
        <w:rPr>
          <w:color w:val="auto"/>
        </w:rPr>
        <w:t>initiating</w:t>
      </w:r>
      <w:proofErr w:type="spellEnd"/>
      <w:r w:rsidRPr="00D27C5F">
        <w:rPr>
          <w:color w:val="auto"/>
        </w:rPr>
        <w:t xml:space="preserve"> </w:t>
      </w:r>
      <w:proofErr w:type="spellStart"/>
      <w:r w:rsidRPr="00D27C5F">
        <w:rPr>
          <w:color w:val="auto"/>
        </w:rPr>
        <w:t>treatment</w:t>
      </w:r>
      <w:proofErr w:type="spellEnd"/>
      <w:r w:rsidRPr="00D27C5F">
        <w:rPr>
          <w:color w:val="auto"/>
        </w:rPr>
        <w:t xml:space="preserve"> </w:t>
      </w:r>
      <w:proofErr w:type="spellStart"/>
      <w:r w:rsidRPr="00D27C5F">
        <w:rPr>
          <w:color w:val="auto"/>
        </w:rPr>
        <w:t>with</w:t>
      </w:r>
      <w:proofErr w:type="spellEnd"/>
      <w:r w:rsidRPr="00D27C5F">
        <w:rPr>
          <w:color w:val="auto"/>
        </w:rPr>
        <w:t xml:space="preserve"> SGLT2-inhibitors versus </w:t>
      </w:r>
      <w:proofErr w:type="spellStart"/>
      <w:r w:rsidRPr="00D27C5F">
        <w:rPr>
          <w:color w:val="auto"/>
        </w:rPr>
        <w:t>other</w:t>
      </w:r>
      <w:proofErr w:type="spellEnd"/>
      <w:r w:rsidRPr="00D27C5F">
        <w:rPr>
          <w:color w:val="auto"/>
        </w:rPr>
        <w:t xml:space="preserve"> glucose-</w:t>
      </w:r>
      <w:proofErr w:type="spellStart"/>
      <w:r w:rsidRPr="00D27C5F">
        <w:rPr>
          <w:color w:val="auto"/>
        </w:rPr>
        <w:t>lowering</w:t>
      </w:r>
      <w:proofErr w:type="spellEnd"/>
      <w:r w:rsidRPr="00D27C5F">
        <w:rPr>
          <w:color w:val="auto"/>
        </w:rPr>
        <w:t xml:space="preserve"> agents in real-world </w:t>
      </w:r>
      <w:proofErr w:type="spellStart"/>
      <w:r w:rsidRPr="00D27C5F">
        <w:rPr>
          <w:color w:val="auto"/>
        </w:rPr>
        <w:t>clinical</w:t>
      </w:r>
      <w:proofErr w:type="spellEnd"/>
      <w:r w:rsidRPr="00D27C5F">
        <w:rPr>
          <w:color w:val="auto"/>
        </w:rPr>
        <w:t xml:space="preserve"> practice: </w:t>
      </w:r>
      <w:proofErr w:type="spellStart"/>
      <w:r w:rsidRPr="00D27C5F">
        <w:rPr>
          <w:color w:val="auto"/>
        </w:rPr>
        <w:t>Results</w:t>
      </w:r>
      <w:proofErr w:type="spellEnd"/>
      <w:r w:rsidRPr="00D27C5F">
        <w:rPr>
          <w:color w:val="auto"/>
        </w:rPr>
        <w:t xml:space="preserve"> </w:t>
      </w:r>
      <w:proofErr w:type="spellStart"/>
      <w:r w:rsidRPr="00D27C5F">
        <w:rPr>
          <w:color w:val="auto"/>
        </w:rPr>
        <w:t>from</w:t>
      </w:r>
      <w:proofErr w:type="spellEnd"/>
      <w:r w:rsidRPr="00D27C5F">
        <w:rPr>
          <w:color w:val="auto"/>
        </w:rPr>
        <w:t xml:space="preserve"> the CVD-REAL </w:t>
      </w:r>
      <w:proofErr w:type="spellStart"/>
      <w:r w:rsidRPr="00D27C5F">
        <w:rPr>
          <w:color w:val="auto"/>
        </w:rPr>
        <w:t>study</w:t>
      </w:r>
      <w:proofErr w:type="spellEnd"/>
      <w:r w:rsidRPr="00D27C5F">
        <w:rPr>
          <w:color w:val="auto"/>
        </w:rPr>
        <w:t xml:space="preserve">. Kosiborod M, Birkeland KI, Cavender MA, Fu AZ, Wilding JP, Khunti K, Holl RW, Norhammar A, Jørgensen ME, Wittbrodt ET, Thuresson M, Bodegård J, Hammar N, Fenici P; CVD-REAL </w:t>
      </w:r>
      <w:proofErr w:type="spellStart"/>
      <w:r w:rsidRPr="00D27C5F">
        <w:rPr>
          <w:color w:val="auto"/>
        </w:rPr>
        <w:t>Investigators</w:t>
      </w:r>
      <w:proofErr w:type="spellEnd"/>
      <w:r w:rsidRPr="00D27C5F">
        <w:rPr>
          <w:color w:val="auto"/>
        </w:rPr>
        <w:t xml:space="preserve"> and </w:t>
      </w:r>
      <w:proofErr w:type="spellStart"/>
      <w:r w:rsidRPr="00D27C5F">
        <w:rPr>
          <w:color w:val="auto"/>
        </w:rPr>
        <w:t>Study</w:t>
      </w:r>
      <w:proofErr w:type="spellEnd"/>
      <w:r w:rsidRPr="00D27C5F">
        <w:rPr>
          <w:color w:val="auto"/>
        </w:rPr>
        <w:t xml:space="preserve"> Group. </w:t>
      </w:r>
      <w:hyperlink r:id="rId9" w:history="1">
        <w:r w:rsidRPr="00D27C5F">
          <w:rPr>
            <w:rStyle w:val="Hyperlink"/>
            <w:i/>
            <w:color w:val="auto"/>
          </w:rPr>
          <w:t xml:space="preserve">Diabetes </w:t>
        </w:r>
        <w:proofErr w:type="spellStart"/>
        <w:r w:rsidRPr="00D27C5F">
          <w:rPr>
            <w:rStyle w:val="Hyperlink"/>
            <w:i/>
            <w:color w:val="auto"/>
          </w:rPr>
          <w:t>Obes</w:t>
        </w:r>
        <w:proofErr w:type="spellEnd"/>
        <w:r w:rsidRPr="00D27C5F">
          <w:rPr>
            <w:rStyle w:val="Hyperlink"/>
            <w:i/>
            <w:color w:val="auto"/>
          </w:rPr>
          <w:t xml:space="preserve"> </w:t>
        </w:r>
        <w:proofErr w:type="spellStart"/>
        <w:r w:rsidRPr="00D27C5F">
          <w:rPr>
            <w:rStyle w:val="Hyperlink"/>
            <w:i/>
            <w:color w:val="auto"/>
          </w:rPr>
          <w:t>Metab</w:t>
        </w:r>
        <w:proofErr w:type="spellEnd"/>
        <w:r w:rsidRPr="00D27C5F">
          <w:rPr>
            <w:rStyle w:val="Hyperlink"/>
            <w:i/>
            <w:color w:val="auto"/>
          </w:rPr>
          <w:t>.</w:t>
        </w:r>
        <w:r w:rsidRPr="00D27C5F">
          <w:rPr>
            <w:rStyle w:val="Hyperlink"/>
            <w:color w:val="auto"/>
          </w:rPr>
          <w:t xml:space="preserve"> 2018 Aug;20(8):1983-1987. </w:t>
        </w:r>
        <w:proofErr w:type="spellStart"/>
        <w:r w:rsidRPr="00D27C5F">
          <w:rPr>
            <w:rStyle w:val="Hyperlink"/>
            <w:color w:val="auto"/>
          </w:rPr>
          <w:t>doi</w:t>
        </w:r>
        <w:proofErr w:type="spellEnd"/>
        <w:r w:rsidRPr="00D27C5F">
          <w:rPr>
            <w:rStyle w:val="Hyperlink"/>
            <w:color w:val="auto"/>
          </w:rPr>
          <w:t xml:space="preserve">: 10.1111/dom.13299. </w:t>
        </w:r>
        <w:proofErr w:type="spellStart"/>
        <w:r w:rsidRPr="00D27C5F">
          <w:rPr>
            <w:rStyle w:val="Hyperlink"/>
            <w:color w:val="auto"/>
          </w:rPr>
          <w:t>Epub</w:t>
        </w:r>
        <w:proofErr w:type="spellEnd"/>
        <w:r w:rsidRPr="00D27C5F">
          <w:rPr>
            <w:rStyle w:val="Hyperlink"/>
            <w:color w:val="auto"/>
          </w:rPr>
          <w:t xml:space="preserve"> 2018 </w:t>
        </w:r>
        <w:proofErr w:type="spellStart"/>
        <w:r w:rsidRPr="00D27C5F">
          <w:rPr>
            <w:rStyle w:val="Hyperlink"/>
            <w:color w:val="auto"/>
          </w:rPr>
          <w:t>Apr</w:t>
        </w:r>
        <w:proofErr w:type="spellEnd"/>
        <w:r w:rsidRPr="00D27C5F">
          <w:rPr>
            <w:rStyle w:val="Hyperlink"/>
            <w:color w:val="auto"/>
          </w:rPr>
          <w:t xml:space="preserve"> 17.</w:t>
        </w:r>
      </w:hyperlink>
    </w:p>
    <w:p w:rsidR="006D75A3" w:rsidRPr="00D27C5F" w:rsidRDefault="006D75A3" w:rsidP="006D75A3">
      <w:pPr>
        <w:pStyle w:val="DapaBiblioListing"/>
        <w:numPr>
          <w:ilvl w:val="0"/>
          <w:numId w:val="0"/>
        </w:numPr>
        <w:ind w:left="360" w:hanging="360"/>
        <w:rPr>
          <w:color w:val="auto"/>
        </w:rPr>
      </w:pPr>
      <w:r>
        <w:rPr>
          <w:color w:val="auto"/>
        </w:rPr>
        <w:t xml:space="preserve">3.   </w:t>
      </w:r>
      <w:proofErr w:type="spellStart"/>
      <w:r w:rsidRPr="00D27C5F">
        <w:rPr>
          <w:color w:val="auto"/>
        </w:rPr>
        <w:t>Lower</w:t>
      </w:r>
      <w:proofErr w:type="spellEnd"/>
      <w:r w:rsidRPr="00D27C5F">
        <w:rPr>
          <w:color w:val="auto"/>
        </w:rPr>
        <w:t xml:space="preserve"> </w:t>
      </w:r>
      <w:proofErr w:type="spellStart"/>
      <w:r w:rsidRPr="00D27C5F">
        <w:rPr>
          <w:color w:val="auto"/>
        </w:rPr>
        <w:t>cardiovascular</w:t>
      </w:r>
      <w:proofErr w:type="spellEnd"/>
      <w:r w:rsidRPr="00D27C5F">
        <w:rPr>
          <w:color w:val="auto"/>
        </w:rPr>
        <w:t xml:space="preserve"> </w:t>
      </w:r>
      <w:proofErr w:type="spellStart"/>
      <w:r w:rsidRPr="00D27C5F">
        <w:rPr>
          <w:color w:val="auto"/>
        </w:rPr>
        <w:t>risk</w:t>
      </w:r>
      <w:proofErr w:type="spellEnd"/>
      <w:r w:rsidRPr="00D27C5F">
        <w:rPr>
          <w:color w:val="auto"/>
        </w:rPr>
        <w:t xml:space="preserve"> </w:t>
      </w:r>
      <w:proofErr w:type="spellStart"/>
      <w:r w:rsidRPr="00D27C5F">
        <w:rPr>
          <w:color w:val="auto"/>
        </w:rPr>
        <w:t>associated</w:t>
      </w:r>
      <w:proofErr w:type="spellEnd"/>
      <w:r w:rsidRPr="00D27C5F">
        <w:rPr>
          <w:color w:val="auto"/>
        </w:rPr>
        <w:t xml:space="preserve"> </w:t>
      </w:r>
      <w:proofErr w:type="spellStart"/>
      <w:r w:rsidRPr="00D27C5F">
        <w:rPr>
          <w:color w:val="auto"/>
        </w:rPr>
        <w:t>with</w:t>
      </w:r>
      <w:proofErr w:type="spellEnd"/>
      <w:r w:rsidRPr="00D27C5F">
        <w:rPr>
          <w:color w:val="auto"/>
        </w:rPr>
        <w:t xml:space="preserve"> SGLT-2i in more </w:t>
      </w:r>
      <w:proofErr w:type="spellStart"/>
      <w:r w:rsidRPr="00D27C5F">
        <w:rPr>
          <w:color w:val="auto"/>
        </w:rPr>
        <w:t>than</w:t>
      </w:r>
      <w:proofErr w:type="spellEnd"/>
      <w:r w:rsidRPr="00D27C5F">
        <w:rPr>
          <w:color w:val="auto"/>
        </w:rPr>
        <w:t xml:space="preserve"> 400,000 patients: The CVD-REAL 2 </w:t>
      </w:r>
      <w:proofErr w:type="spellStart"/>
      <w:r w:rsidRPr="00D27C5F">
        <w:rPr>
          <w:color w:val="auto"/>
        </w:rPr>
        <w:t>study</w:t>
      </w:r>
      <w:proofErr w:type="spellEnd"/>
      <w:r w:rsidRPr="00D27C5F">
        <w:rPr>
          <w:color w:val="auto"/>
        </w:rPr>
        <w:t xml:space="preserve">. Kosiborod M, Lam CSP, Kohsaka S, Kim DJ, Karasik A, Shaw J, Tangri N, Goh SY, Thuresson M, Chen H, Surmont F, Hammar N, Fenici P; CVD-REAL </w:t>
      </w:r>
      <w:proofErr w:type="spellStart"/>
      <w:r w:rsidRPr="00D27C5F">
        <w:rPr>
          <w:color w:val="auto"/>
        </w:rPr>
        <w:t>Investigators</w:t>
      </w:r>
      <w:proofErr w:type="spellEnd"/>
      <w:r w:rsidRPr="00D27C5F">
        <w:rPr>
          <w:color w:val="auto"/>
        </w:rPr>
        <w:t xml:space="preserve"> and </w:t>
      </w:r>
      <w:proofErr w:type="spellStart"/>
      <w:r w:rsidRPr="00D27C5F">
        <w:rPr>
          <w:color w:val="auto"/>
        </w:rPr>
        <w:t>Study</w:t>
      </w:r>
      <w:proofErr w:type="spellEnd"/>
      <w:r w:rsidRPr="00D27C5F">
        <w:rPr>
          <w:color w:val="auto"/>
        </w:rPr>
        <w:t xml:space="preserve"> Group. </w:t>
      </w:r>
      <w:hyperlink r:id="rId10" w:history="1">
        <w:r w:rsidRPr="00D27C5F">
          <w:rPr>
            <w:rStyle w:val="Hyperlink"/>
            <w:i/>
            <w:color w:val="auto"/>
          </w:rPr>
          <w:t xml:space="preserve">J Am Coll </w:t>
        </w:r>
        <w:proofErr w:type="spellStart"/>
        <w:r w:rsidRPr="00D27C5F">
          <w:rPr>
            <w:rStyle w:val="Hyperlink"/>
            <w:i/>
            <w:color w:val="auto"/>
          </w:rPr>
          <w:t>Cardiol</w:t>
        </w:r>
        <w:proofErr w:type="spellEnd"/>
        <w:r w:rsidRPr="00D27C5F">
          <w:rPr>
            <w:rStyle w:val="Hyperlink"/>
            <w:color w:val="auto"/>
          </w:rPr>
          <w:t xml:space="preserve">. 2018 Mar 7; 71 (23). </w:t>
        </w:r>
        <w:proofErr w:type="spellStart"/>
        <w:r w:rsidRPr="00D27C5F">
          <w:rPr>
            <w:rStyle w:val="Hyperlink"/>
            <w:color w:val="auto"/>
          </w:rPr>
          <w:t>pii</w:t>
        </w:r>
        <w:proofErr w:type="spellEnd"/>
        <w:r w:rsidRPr="00D27C5F">
          <w:rPr>
            <w:rStyle w:val="Hyperlink"/>
            <w:color w:val="auto"/>
          </w:rPr>
          <w:t xml:space="preserve">: S0735-1097(18)33528-9. </w:t>
        </w:r>
        <w:proofErr w:type="spellStart"/>
        <w:r w:rsidRPr="00D27C5F">
          <w:rPr>
            <w:rStyle w:val="Hyperlink"/>
            <w:color w:val="auto"/>
          </w:rPr>
          <w:t>doi</w:t>
        </w:r>
        <w:proofErr w:type="spellEnd"/>
        <w:r w:rsidRPr="00D27C5F">
          <w:rPr>
            <w:rStyle w:val="Hyperlink"/>
            <w:color w:val="auto"/>
          </w:rPr>
          <w:t>: 10.1016/j.jacc.2018.03.009. [</w:t>
        </w:r>
        <w:proofErr w:type="spellStart"/>
        <w:r w:rsidRPr="00D27C5F">
          <w:rPr>
            <w:rStyle w:val="Hyperlink"/>
            <w:color w:val="auto"/>
          </w:rPr>
          <w:t>Epub</w:t>
        </w:r>
        <w:proofErr w:type="spellEnd"/>
        <w:r w:rsidRPr="00D27C5F">
          <w:rPr>
            <w:rStyle w:val="Hyperlink"/>
            <w:color w:val="auto"/>
          </w:rPr>
          <w:t xml:space="preserve"> </w:t>
        </w:r>
        <w:proofErr w:type="spellStart"/>
        <w:r w:rsidRPr="00D27C5F">
          <w:rPr>
            <w:rStyle w:val="Hyperlink"/>
            <w:color w:val="auto"/>
          </w:rPr>
          <w:t>ahead</w:t>
        </w:r>
        <w:proofErr w:type="spellEnd"/>
        <w:r w:rsidRPr="00D27C5F">
          <w:rPr>
            <w:rStyle w:val="Hyperlink"/>
            <w:color w:val="auto"/>
          </w:rPr>
          <w:t xml:space="preserve"> of </w:t>
        </w:r>
        <w:proofErr w:type="spellStart"/>
        <w:r w:rsidRPr="00D27C5F">
          <w:rPr>
            <w:rStyle w:val="Hyperlink"/>
            <w:color w:val="auto"/>
          </w:rPr>
          <w:t>print</w:t>
        </w:r>
        <w:proofErr w:type="spellEnd"/>
        <w:r w:rsidRPr="00D27C5F">
          <w:rPr>
            <w:rStyle w:val="Hyperlink"/>
            <w:color w:val="auto"/>
          </w:rPr>
          <w:t>]</w:t>
        </w:r>
      </w:hyperlink>
      <w:r w:rsidRPr="00D27C5F">
        <w:rPr>
          <w:i/>
          <w:color w:val="auto"/>
        </w:rPr>
        <w:t>.</w:t>
      </w:r>
    </w:p>
    <w:p w:rsidR="006D75A3" w:rsidRPr="00D27C5F" w:rsidRDefault="006D75A3" w:rsidP="006D75A3">
      <w:pPr>
        <w:pStyle w:val="DapaBiblioListing"/>
        <w:numPr>
          <w:ilvl w:val="0"/>
          <w:numId w:val="0"/>
        </w:numPr>
        <w:ind w:left="360" w:hanging="360"/>
        <w:rPr>
          <w:color w:val="auto"/>
        </w:rPr>
      </w:pPr>
      <w:r>
        <w:rPr>
          <w:color w:val="auto"/>
        </w:rPr>
        <w:t xml:space="preserve">4.   </w:t>
      </w:r>
      <w:r w:rsidRPr="00D27C5F">
        <w:rPr>
          <w:color w:val="auto"/>
        </w:rPr>
        <w:t xml:space="preserve">Dapagliflozin </w:t>
      </w:r>
      <w:proofErr w:type="spellStart"/>
      <w:r w:rsidRPr="00D27C5F">
        <w:rPr>
          <w:color w:val="auto"/>
        </w:rPr>
        <w:t>is</w:t>
      </w:r>
      <w:proofErr w:type="spellEnd"/>
      <w:r w:rsidRPr="00D27C5F">
        <w:rPr>
          <w:color w:val="auto"/>
        </w:rPr>
        <w:t xml:space="preserve"> </w:t>
      </w:r>
      <w:proofErr w:type="spellStart"/>
      <w:r w:rsidRPr="00D27C5F">
        <w:rPr>
          <w:color w:val="auto"/>
        </w:rPr>
        <w:t>associated</w:t>
      </w:r>
      <w:proofErr w:type="spellEnd"/>
      <w:r w:rsidRPr="00D27C5F">
        <w:rPr>
          <w:color w:val="auto"/>
        </w:rPr>
        <w:t xml:space="preserve"> </w:t>
      </w:r>
      <w:proofErr w:type="spellStart"/>
      <w:r w:rsidRPr="00D27C5F">
        <w:rPr>
          <w:color w:val="auto"/>
        </w:rPr>
        <w:t>with</w:t>
      </w:r>
      <w:proofErr w:type="spellEnd"/>
      <w:r w:rsidRPr="00D27C5F">
        <w:rPr>
          <w:color w:val="auto"/>
        </w:rPr>
        <w:t xml:space="preserve"> </w:t>
      </w:r>
      <w:proofErr w:type="spellStart"/>
      <w:r w:rsidRPr="00D27C5F">
        <w:rPr>
          <w:color w:val="auto"/>
        </w:rPr>
        <w:t>lower</w:t>
      </w:r>
      <w:proofErr w:type="spellEnd"/>
      <w:r w:rsidRPr="00D27C5F">
        <w:rPr>
          <w:color w:val="auto"/>
        </w:rPr>
        <w:t xml:space="preserve"> </w:t>
      </w:r>
      <w:proofErr w:type="spellStart"/>
      <w:r w:rsidRPr="00D27C5F">
        <w:rPr>
          <w:color w:val="auto"/>
        </w:rPr>
        <w:t>risk</w:t>
      </w:r>
      <w:proofErr w:type="spellEnd"/>
      <w:r w:rsidRPr="00D27C5F">
        <w:rPr>
          <w:color w:val="auto"/>
        </w:rPr>
        <w:t xml:space="preserve"> of </w:t>
      </w:r>
      <w:proofErr w:type="spellStart"/>
      <w:r w:rsidRPr="00D27C5F">
        <w:rPr>
          <w:color w:val="auto"/>
        </w:rPr>
        <w:t>cardiovascular</w:t>
      </w:r>
      <w:proofErr w:type="spellEnd"/>
      <w:r w:rsidRPr="00D27C5F">
        <w:rPr>
          <w:color w:val="auto"/>
        </w:rPr>
        <w:t xml:space="preserve"> </w:t>
      </w:r>
      <w:proofErr w:type="spellStart"/>
      <w:r w:rsidRPr="00D27C5F">
        <w:rPr>
          <w:color w:val="auto"/>
        </w:rPr>
        <w:t>events</w:t>
      </w:r>
      <w:proofErr w:type="spellEnd"/>
      <w:r w:rsidRPr="00D27C5F">
        <w:rPr>
          <w:color w:val="auto"/>
        </w:rPr>
        <w:t xml:space="preserve"> and all-cause </w:t>
      </w:r>
      <w:proofErr w:type="spellStart"/>
      <w:r w:rsidRPr="00D27C5F">
        <w:rPr>
          <w:color w:val="auto"/>
        </w:rPr>
        <w:t>mortality</w:t>
      </w:r>
      <w:proofErr w:type="spellEnd"/>
      <w:r w:rsidRPr="00D27C5F">
        <w:rPr>
          <w:color w:val="auto"/>
        </w:rPr>
        <w:t xml:space="preserve"> in people </w:t>
      </w:r>
      <w:proofErr w:type="spellStart"/>
      <w:r w:rsidRPr="00D27C5F">
        <w:rPr>
          <w:color w:val="auto"/>
        </w:rPr>
        <w:t>with</w:t>
      </w:r>
      <w:proofErr w:type="spellEnd"/>
      <w:r w:rsidRPr="00D27C5F">
        <w:rPr>
          <w:color w:val="auto"/>
        </w:rPr>
        <w:t xml:space="preserve"> type 2 </w:t>
      </w:r>
      <w:proofErr w:type="spellStart"/>
      <w:r w:rsidRPr="00D27C5F">
        <w:rPr>
          <w:color w:val="auto"/>
        </w:rPr>
        <w:t>diabetes</w:t>
      </w:r>
      <w:proofErr w:type="spellEnd"/>
      <w:r w:rsidRPr="00D27C5F">
        <w:rPr>
          <w:color w:val="auto"/>
        </w:rPr>
        <w:t xml:space="preserve"> (CVD-REAL Nordic) </w:t>
      </w:r>
      <w:proofErr w:type="spellStart"/>
      <w:r w:rsidRPr="00D27C5F">
        <w:rPr>
          <w:color w:val="auto"/>
        </w:rPr>
        <w:t>when</w:t>
      </w:r>
      <w:proofErr w:type="spellEnd"/>
      <w:r w:rsidRPr="00D27C5F">
        <w:rPr>
          <w:color w:val="auto"/>
        </w:rPr>
        <w:t xml:space="preserve"> </w:t>
      </w:r>
      <w:proofErr w:type="spellStart"/>
      <w:r w:rsidRPr="00D27C5F">
        <w:rPr>
          <w:color w:val="auto"/>
        </w:rPr>
        <w:t>compared</w:t>
      </w:r>
      <w:proofErr w:type="spellEnd"/>
      <w:r w:rsidRPr="00D27C5F">
        <w:rPr>
          <w:color w:val="auto"/>
        </w:rPr>
        <w:t xml:space="preserve"> </w:t>
      </w:r>
      <w:proofErr w:type="spellStart"/>
      <w:r w:rsidRPr="00D27C5F">
        <w:rPr>
          <w:color w:val="auto"/>
        </w:rPr>
        <w:t>with</w:t>
      </w:r>
      <w:proofErr w:type="spellEnd"/>
      <w:r w:rsidRPr="00D27C5F">
        <w:rPr>
          <w:color w:val="auto"/>
        </w:rPr>
        <w:t xml:space="preserve"> </w:t>
      </w:r>
      <w:proofErr w:type="spellStart"/>
      <w:r w:rsidRPr="00D27C5F">
        <w:rPr>
          <w:color w:val="auto"/>
        </w:rPr>
        <w:t>dipeptidyl</w:t>
      </w:r>
      <w:proofErr w:type="spellEnd"/>
      <w:r w:rsidRPr="00D27C5F">
        <w:rPr>
          <w:color w:val="auto"/>
        </w:rPr>
        <w:t xml:space="preserve"> peptidase-4 </w:t>
      </w:r>
      <w:proofErr w:type="spellStart"/>
      <w:r w:rsidRPr="00D27C5F">
        <w:rPr>
          <w:color w:val="auto"/>
        </w:rPr>
        <w:t>inhibitor</w:t>
      </w:r>
      <w:proofErr w:type="spellEnd"/>
      <w:r w:rsidRPr="00D27C5F">
        <w:rPr>
          <w:color w:val="auto"/>
        </w:rPr>
        <w:t xml:space="preserve"> </w:t>
      </w:r>
      <w:proofErr w:type="spellStart"/>
      <w:r w:rsidRPr="00D27C5F">
        <w:rPr>
          <w:color w:val="auto"/>
        </w:rPr>
        <w:t>therapy</w:t>
      </w:r>
      <w:proofErr w:type="spellEnd"/>
      <w:r w:rsidRPr="00D27C5F">
        <w:rPr>
          <w:color w:val="auto"/>
        </w:rPr>
        <w:t xml:space="preserve">: A multinational </w:t>
      </w:r>
      <w:proofErr w:type="spellStart"/>
      <w:r w:rsidRPr="00D27C5F">
        <w:rPr>
          <w:color w:val="auto"/>
        </w:rPr>
        <w:t>observational</w:t>
      </w:r>
      <w:proofErr w:type="spellEnd"/>
      <w:r w:rsidRPr="00D27C5F">
        <w:rPr>
          <w:color w:val="auto"/>
        </w:rPr>
        <w:t xml:space="preserve"> </w:t>
      </w:r>
      <w:proofErr w:type="spellStart"/>
      <w:r w:rsidRPr="00D27C5F">
        <w:rPr>
          <w:color w:val="auto"/>
        </w:rPr>
        <w:t>study</w:t>
      </w:r>
      <w:proofErr w:type="spellEnd"/>
      <w:r w:rsidRPr="00D27C5F">
        <w:rPr>
          <w:color w:val="auto"/>
        </w:rPr>
        <w:t xml:space="preserve">. Persson F, Nyström T, Jørgensen ME, Carstensen B, </w:t>
      </w:r>
      <w:proofErr w:type="spellStart"/>
      <w:r w:rsidRPr="00D27C5F">
        <w:rPr>
          <w:color w:val="auto"/>
        </w:rPr>
        <w:t>Gulseth</w:t>
      </w:r>
      <w:proofErr w:type="spellEnd"/>
      <w:r w:rsidRPr="00D27C5F">
        <w:rPr>
          <w:color w:val="auto"/>
        </w:rPr>
        <w:t xml:space="preserve"> HL, Thuresson M, Fenici P, </w:t>
      </w:r>
      <w:proofErr w:type="spellStart"/>
      <w:r w:rsidRPr="00D27C5F">
        <w:rPr>
          <w:color w:val="auto"/>
        </w:rPr>
        <w:t>Nathanson</w:t>
      </w:r>
      <w:proofErr w:type="spellEnd"/>
      <w:r w:rsidRPr="00D27C5F">
        <w:rPr>
          <w:color w:val="auto"/>
        </w:rPr>
        <w:t xml:space="preserve"> D, Eriksson JW, Norhammar A, </w:t>
      </w:r>
      <w:proofErr w:type="spellStart"/>
      <w:r w:rsidRPr="00D27C5F">
        <w:rPr>
          <w:color w:val="auto"/>
        </w:rPr>
        <w:t>Bodegard</w:t>
      </w:r>
      <w:proofErr w:type="spellEnd"/>
      <w:r w:rsidRPr="00D27C5F">
        <w:rPr>
          <w:color w:val="auto"/>
        </w:rPr>
        <w:t xml:space="preserve"> J, Birkeland KI. </w:t>
      </w:r>
      <w:hyperlink r:id="rId11" w:history="1">
        <w:r w:rsidRPr="00D27C5F">
          <w:rPr>
            <w:rStyle w:val="Hyperlink"/>
            <w:i/>
            <w:color w:val="auto"/>
          </w:rPr>
          <w:t xml:space="preserve">Diabetes </w:t>
        </w:r>
        <w:proofErr w:type="spellStart"/>
        <w:r w:rsidRPr="00D27C5F">
          <w:rPr>
            <w:rStyle w:val="Hyperlink"/>
            <w:i/>
            <w:color w:val="auto"/>
          </w:rPr>
          <w:t>Obes</w:t>
        </w:r>
        <w:proofErr w:type="spellEnd"/>
        <w:r w:rsidRPr="00D27C5F">
          <w:rPr>
            <w:rStyle w:val="Hyperlink"/>
            <w:i/>
            <w:color w:val="auto"/>
          </w:rPr>
          <w:t xml:space="preserve"> </w:t>
        </w:r>
        <w:proofErr w:type="spellStart"/>
        <w:r w:rsidRPr="00D27C5F">
          <w:rPr>
            <w:rStyle w:val="Hyperlink"/>
            <w:i/>
            <w:color w:val="auto"/>
          </w:rPr>
          <w:t>Metab</w:t>
        </w:r>
        <w:proofErr w:type="spellEnd"/>
        <w:r w:rsidRPr="00D27C5F">
          <w:rPr>
            <w:rStyle w:val="Hyperlink"/>
            <w:color w:val="auto"/>
          </w:rPr>
          <w:t xml:space="preserve">. 2018 Feb;20(2):344-351. </w:t>
        </w:r>
        <w:proofErr w:type="spellStart"/>
        <w:r w:rsidRPr="00D27C5F">
          <w:rPr>
            <w:rStyle w:val="Hyperlink"/>
            <w:color w:val="auto"/>
          </w:rPr>
          <w:t>doi</w:t>
        </w:r>
        <w:proofErr w:type="spellEnd"/>
        <w:r w:rsidRPr="00D27C5F">
          <w:rPr>
            <w:rStyle w:val="Hyperlink"/>
            <w:color w:val="auto"/>
          </w:rPr>
          <w:t>: 10.1111/dom.13077.</w:t>
        </w:r>
      </w:hyperlink>
      <w:r w:rsidRPr="00D27C5F">
        <w:rPr>
          <w:color w:val="auto"/>
        </w:rPr>
        <w:t xml:space="preserve"> </w:t>
      </w:r>
    </w:p>
    <w:p w:rsidR="006D75A3" w:rsidRDefault="006D75A3" w:rsidP="006D75A3">
      <w:pPr>
        <w:pStyle w:val="DapaBiblioListing"/>
        <w:numPr>
          <w:ilvl w:val="0"/>
          <w:numId w:val="0"/>
        </w:numPr>
        <w:ind w:left="360" w:hanging="360"/>
        <w:rPr>
          <w:rStyle w:val="Hyperlink"/>
          <w:color w:val="auto"/>
        </w:rPr>
      </w:pPr>
      <w:r>
        <w:rPr>
          <w:color w:val="auto"/>
        </w:rPr>
        <w:t xml:space="preserve">5.   </w:t>
      </w:r>
      <w:proofErr w:type="spellStart"/>
      <w:r w:rsidRPr="00D27C5F">
        <w:rPr>
          <w:color w:val="auto"/>
        </w:rPr>
        <w:t>Cardiovascular</w:t>
      </w:r>
      <w:proofErr w:type="spellEnd"/>
      <w:r w:rsidRPr="00D27C5F">
        <w:rPr>
          <w:color w:val="auto"/>
        </w:rPr>
        <w:t xml:space="preserve"> </w:t>
      </w:r>
      <w:proofErr w:type="spellStart"/>
      <w:r w:rsidRPr="00D27C5F">
        <w:rPr>
          <w:color w:val="auto"/>
        </w:rPr>
        <w:t>mortality</w:t>
      </w:r>
      <w:proofErr w:type="spellEnd"/>
      <w:r w:rsidRPr="00D27C5F">
        <w:rPr>
          <w:color w:val="auto"/>
        </w:rPr>
        <w:t xml:space="preserve"> and </w:t>
      </w:r>
      <w:proofErr w:type="spellStart"/>
      <w:r w:rsidRPr="00D27C5F">
        <w:rPr>
          <w:color w:val="auto"/>
        </w:rPr>
        <w:t>morbidity</w:t>
      </w:r>
      <w:proofErr w:type="spellEnd"/>
      <w:r w:rsidRPr="00D27C5F">
        <w:rPr>
          <w:color w:val="auto"/>
        </w:rPr>
        <w:t xml:space="preserve"> in patients </w:t>
      </w:r>
      <w:proofErr w:type="spellStart"/>
      <w:r w:rsidRPr="00D27C5F">
        <w:rPr>
          <w:color w:val="auto"/>
        </w:rPr>
        <w:t>with</w:t>
      </w:r>
      <w:proofErr w:type="spellEnd"/>
      <w:r w:rsidRPr="00D27C5F">
        <w:rPr>
          <w:color w:val="auto"/>
        </w:rPr>
        <w:t xml:space="preserve"> type 2 </w:t>
      </w:r>
      <w:proofErr w:type="spellStart"/>
      <w:r w:rsidRPr="00D27C5F">
        <w:rPr>
          <w:color w:val="auto"/>
        </w:rPr>
        <w:t>diabetes</w:t>
      </w:r>
      <w:proofErr w:type="spellEnd"/>
      <w:r w:rsidRPr="00D27C5F">
        <w:rPr>
          <w:color w:val="auto"/>
        </w:rPr>
        <w:t xml:space="preserve"> </w:t>
      </w:r>
      <w:proofErr w:type="spellStart"/>
      <w:r w:rsidRPr="00D27C5F">
        <w:rPr>
          <w:color w:val="auto"/>
        </w:rPr>
        <w:t>following</w:t>
      </w:r>
      <w:proofErr w:type="spellEnd"/>
      <w:r w:rsidRPr="00D27C5F">
        <w:rPr>
          <w:color w:val="auto"/>
        </w:rPr>
        <w:t xml:space="preserve"> initiation of sodium-glucose co-transporter-2 </w:t>
      </w:r>
      <w:proofErr w:type="spellStart"/>
      <w:r w:rsidRPr="00D27C5F">
        <w:rPr>
          <w:color w:val="auto"/>
        </w:rPr>
        <w:t>inhibitors</w:t>
      </w:r>
      <w:proofErr w:type="spellEnd"/>
      <w:r w:rsidRPr="00D27C5F">
        <w:rPr>
          <w:color w:val="auto"/>
        </w:rPr>
        <w:t xml:space="preserve"> versus </w:t>
      </w:r>
      <w:proofErr w:type="spellStart"/>
      <w:r w:rsidRPr="00D27C5F">
        <w:rPr>
          <w:color w:val="auto"/>
        </w:rPr>
        <w:t>other</w:t>
      </w:r>
      <w:proofErr w:type="spellEnd"/>
      <w:r w:rsidRPr="00D27C5F">
        <w:rPr>
          <w:color w:val="auto"/>
        </w:rPr>
        <w:t xml:space="preserve"> glucose-</w:t>
      </w:r>
      <w:proofErr w:type="spellStart"/>
      <w:r w:rsidRPr="00D27C5F">
        <w:rPr>
          <w:color w:val="auto"/>
        </w:rPr>
        <w:t>lowering</w:t>
      </w:r>
      <w:proofErr w:type="spellEnd"/>
      <w:r w:rsidRPr="00D27C5F">
        <w:rPr>
          <w:color w:val="auto"/>
        </w:rPr>
        <w:t xml:space="preserve"> </w:t>
      </w:r>
      <w:proofErr w:type="spellStart"/>
      <w:r w:rsidRPr="00D27C5F">
        <w:rPr>
          <w:color w:val="auto"/>
        </w:rPr>
        <w:t>drugs</w:t>
      </w:r>
      <w:proofErr w:type="spellEnd"/>
      <w:r w:rsidRPr="00D27C5F">
        <w:rPr>
          <w:color w:val="auto"/>
        </w:rPr>
        <w:t xml:space="preserve"> (CVD-REAL Nordic): </w:t>
      </w:r>
      <w:proofErr w:type="spellStart"/>
      <w:r w:rsidRPr="00D27C5F">
        <w:rPr>
          <w:color w:val="auto"/>
        </w:rPr>
        <w:t>a</w:t>
      </w:r>
      <w:proofErr w:type="spellEnd"/>
      <w:r w:rsidRPr="00D27C5F">
        <w:rPr>
          <w:color w:val="auto"/>
        </w:rPr>
        <w:t xml:space="preserve"> multinational </w:t>
      </w:r>
      <w:proofErr w:type="spellStart"/>
      <w:r w:rsidRPr="00D27C5F">
        <w:rPr>
          <w:color w:val="auto"/>
        </w:rPr>
        <w:t>observational</w:t>
      </w:r>
      <w:proofErr w:type="spellEnd"/>
      <w:r w:rsidRPr="00D27C5F">
        <w:rPr>
          <w:color w:val="auto"/>
        </w:rPr>
        <w:t xml:space="preserve"> </w:t>
      </w:r>
      <w:proofErr w:type="spellStart"/>
      <w:r w:rsidRPr="00D27C5F">
        <w:rPr>
          <w:color w:val="auto"/>
        </w:rPr>
        <w:t>analysis</w:t>
      </w:r>
      <w:proofErr w:type="spellEnd"/>
      <w:r w:rsidRPr="00D27C5F">
        <w:rPr>
          <w:color w:val="auto"/>
        </w:rPr>
        <w:t xml:space="preserve">. Birkeland KI, Jørgensen ME, Carstensen B, Persson F, </w:t>
      </w:r>
      <w:proofErr w:type="spellStart"/>
      <w:r w:rsidRPr="00D27C5F">
        <w:rPr>
          <w:color w:val="auto"/>
        </w:rPr>
        <w:t>Gulseth</w:t>
      </w:r>
      <w:proofErr w:type="spellEnd"/>
      <w:r w:rsidRPr="00D27C5F">
        <w:rPr>
          <w:color w:val="auto"/>
        </w:rPr>
        <w:t xml:space="preserve"> HL, Thuresson M, Fenici P, </w:t>
      </w:r>
      <w:proofErr w:type="spellStart"/>
      <w:r w:rsidRPr="00D27C5F">
        <w:rPr>
          <w:color w:val="auto"/>
        </w:rPr>
        <w:t>Nathanson</w:t>
      </w:r>
      <w:proofErr w:type="spellEnd"/>
      <w:r w:rsidRPr="00D27C5F">
        <w:rPr>
          <w:color w:val="auto"/>
        </w:rPr>
        <w:t xml:space="preserve"> D, Nyström T, Eriksson JW, Bodegård J, Norhammar A. </w:t>
      </w:r>
      <w:hyperlink r:id="rId12" w:history="1">
        <w:r w:rsidRPr="00D27C5F">
          <w:rPr>
            <w:rStyle w:val="Hyperlink"/>
            <w:i/>
            <w:color w:val="auto"/>
          </w:rPr>
          <w:t xml:space="preserve">Lancet Diabetes </w:t>
        </w:r>
        <w:proofErr w:type="spellStart"/>
        <w:r w:rsidRPr="00D27C5F">
          <w:rPr>
            <w:rStyle w:val="Hyperlink"/>
            <w:i/>
            <w:color w:val="auto"/>
          </w:rPr>
          <w:t>Endocrinol</w:t>
        </w:r>
        <w:proofErr w:type="spellEnd"/>
        <w:r w:rsidRPr="00D27C5F">
          <w:rPr>
            <w:rStyle w:val="Hyperlink"/>
            <w:color w:val="auto"/>
          </w:rPr>
          <w:t xml:space="preserve">. 2017 Sep;5(9):709-717. </w:t>
        </w:r>
        <w:proofErr w:type="spellStart"/>
        <w:r w:rsidRPr="00D27C5F">
          <w:rPr>
            <w:rStyle w:val="Hyperlink"/>
            <w:color w:val="auto"/>
          </w:rPr>
          <w:t>doi</w:t>
        </w:r>
        <w:proofErr w:type="spellEnd"/>
        <w:r w:rsidRPr="00D27C5F">
          <w:rPr>
            <w:rStyle w:val="Hyperlink"/>
            <w:color w:val="auto"/>
          </w:rPr>
          <w:t xml:space="preserve">: 10.1016/S2213-8587(17)30258-9. </w:t>
        </w:r>
      </w:hyperlink>
    </w:p>
    <w:p w:rsidR="006D75A3" w:rsidRDefault="006D75A3" w:rsidP="006D75A3">
      <w:pPr>
        <w:pStyle w:val="DapaBiblioListing"/>
        <w:numPr>
          <w:ilvl w:val="0"/>
          <w:numId w:val="0"/>
        </w:numPr>
        <w:ind w:left="360" w:hanging="360"/>
        <w:rPr>
          <w:rStyle w:val="Hyperlink"/>
          <w:color w:val="auto"/>
          <w:lang w:val="en-US"/>
        </w:rPr>
      </w:pPr>
      <w:r>
        <w:rPr>
          <w:color w:val="auto"/>
        </w:rPr>
        <w:t xml:space="preserve">6.   </w:t>
      </w:r>
      <w:proofErr w:type="spellStart"/>
      <w:r w:rsidRPr="00D27C5F">
        <w:rPr>
          <w:color w:val="auto"/>
        </w:rPr>
        <w:t>Lower</w:t>
      </w:r>
      <w:proofErr w:type="spellEnd"/>
      <w:r w:rsidRPr="00D27C5F">
        <w:rPr>
          <w:color w:val="auto"/>
        </w:rPr>
        <w:t xml:space="preserve"> </w:t>
      </w:r>
      <w:proofErr w:type="spellStart"/>
      <w:r w:rsidRPr="00D27C5F">
        <w:rPr>
          <w:color w:val="auto"/>
        </w:rPr>
        <w:t>risk</w:t>
      </w:r>
      <w:proofErr w:type="spellEnd"/>
      <w:r w:rsidRPr="00D27C5F">
        <w:rPr>
          <w:color w:val="auto"/>
        </w:rPr>
        <w:t xml:space="preserve"> of </w:t>
      </w:r>
      <w:proofErr w:type="spellStart"/>
      <w:r w:rsidRPr="00D27C5F">
        <w:rPr>
          <w:color w:val="auto"/>
        </w:rPr>
        <w:t>heart</w:t>
      </w:r>
      <w:proofErr w:type="spellEnd"/>
      <w:r w:rsidRPr="00D27C5F">
        <w:rPr>
          <w:color w:val="auto"/>
        </w:rPr>
        <w:t xml:space="preserve"> </w:t>
      </w:r>
      <w:proofErr w:type="spellStart"/>
      <w:r w:rsidRPr="00D27C5F">
        <w:rPr>
          <w:color w:val="auto"/>
        </w:rPr>
        <w:t>failure</w:t>
      </w:r>
      <w:proofErr w:type="spellEnd"/>
      <w:r w:rsidRPr="00D27C5F">
        <w:rPr>
          <w:color w:val="auto"/>
        </w:rPr>
        <w:t xml:space="preserve"> and </w:t>
      </w:r>
      <w:proofErr w:type="spellStart"/>
      <w:r w:rsidRPr="00D27C5F">
        <w:rPr>
          <w:color w:val="auto"/>
        </w:rPr>
        <w:t>death</w:t>
      </w:r>
      <w:proofErr w:type="spellEnd"/>
      <w:r w:rsidRPr="00D27C5F">
        <w:rPr>
          <w:color w:val="auto"/>
        </w:rPr>
        <w:t xml:space="preserve"> in patients </w:t>
      </w:r>
      <w:proofErr w:type="spellStart"/>
      <w:r w:rsidRPr="00D27C5F">
        <w:rPr>
          <w:color w:val="auto"/>
        </w:rPr>
        <w:t>initiated</w:t>
      </w:r>
      <w:proofErr w:type="spellEnd"/>
      <w:r w:rsidRPr="00D27C5F">
        <w:rPr>
          <w:color w:val="auto"/>
        </w:rPr>
        <w:t xml:space="preserve"> on SGLT-2 </w:t>
      </w:r>
      <w:proofErr w:type="spellStart"/>
      <w:r w:rsidRPr="00D27C5F">
        <w:rPr>
          <w:color w:val="auto"/>
        </w:rPr>
        <w:t>inhibitors</w:t>
      </w:r>
      <w:proofErr w:type="spellEnd"/>
      <w:r w:rsidRPr="00D27C5F">
        <w:rPr>
          <w:color w:val="auto"/>
        </w:rPr>
        <w:t xml:space="preserve"> versus </w:t>
      </w:r>
      <w:proofErr w:type="spellStart"/>
      <w:r w:rsidRPr="00D27C5F">
        <w:rPr>
          <w:color w:val="auto"/>
        </w:rPr>
        <w:t>other</w:t>
      </w:r>
      <w:proofErr w:type="spellEnd"/>
      <w:r w:rsidRPr="00D27C5F">
        <w:rPr>
          <w:color w:val="auto"/>
        </w:rPr>
        <w:t xml:space="preserve"> glucose-</w:t>
      </w:r>
      <w:proofErr w:type="spellStart"/>
      <w:r w:rsidRPr="00D27C5F">
        <w:rPr>
          <w:color w:val="auto"/>
        </w:rPr>
        <w:t>lowering</w:t>
      </w:r>
      <w:proofErr w:type="spellEnd"/>
      <w:r w:rsidRPr="00D27C5F">
        <w:rPr>
          <w:color w:val="auto"/>
        </w:rPr>
        <w:t xml:space="preserve"> </w:t>
      </w:r>
      <w:proofErr w:type="spellStart"/>
      <w:r w:rsidRPr="00D27C5F">
        <w:rPr>
          <w:color w:val="auto"/>
        </w:rPr>
        <w:t>drugs</w:t>
      </w:r>
      <w:proofErr w:type="spellEnd"/>
      <w:r w:rsidRPr="00D27C5F">
        <w:rPr>
          <w:color w:val="auto"/>
        </w:rPr>
        <w:t xml:space="preserve">: The CVD-REAL </w:t>
      </w:r>
      <w:proofErr w:type="spellStart"/>
      <w:r w:rsidRPr="00D27C5F">
        <w:rPr>
          <w:color w:val="auto"/>
        </w:rPr>
        <w:t>Study</w:t>
      </w:r>
      <w:proofErr w:type="spellEnd"/>
      <w:r w:rsidRPr="00D27C5F">
        <w:rPr>
          <w:color w:val="auto"/>
        </w:rPr>
        <w:t xml:space="preserve">. Kosiborod M, Cavender MA, Fu AZ, Wilding JP, Khunti K, Holl RW, Norhammar A, Birkeland KI, Jørgensen M, Thuresson M, Arya N, Bodegård J, Hammar N, Fenici P; CVD-REAL </w:t>
      </w:r>
      <w:proofErr w:type="spellStart"/>
      <w:r w:rsidRPr="00D27C5F">
        <w:rPr>
          <w:color w:val="auto"/>
        </w:rPr>
        <w:t>Investigators</w:t>
      </w:r>
      <w:proofErr w:type="spellEnd"/>
      <w:r w:rsidRPr="00D27C5F">
        <w:rPr>
          <w:color w:val="auto"/>
        </w:rPr>
        <w:t xml:space="preserve"> and </w:t>
      </w:r>
      <w:proofErr w:type="spellStart"/>
      <w:r w:rsidRPr="00D27C5F">
        <w:rPr>
          <w:color w:val="auto"/>
        </w:rPr>
        <w:t>Study</w:t>
      </w:r>
      <w:proofErr w:type="spellEnd"/>
      <w:r w:rsidRPr="00D27C5F">
        <w:rPr>
          <w:color w:val="auto"/>
        </w:rPr>
        <w:t xml:space="preserve"> Group.  </w:t>
      </w:r>
      <w:r w:rsidRPr="00F74168">
        <w:rPr>
          <w:i/>
        </w:rPr>
        <w:t>Circulation</w:t>
      </w:r>
      <w:r w:rsidRPr="00F74168">
        <w:t>. 2017;136:249–259.</w:t>
      </w:r>
    </w:p>
    <w:p w:rsidR="006D75A3" w:rsidRPr="006D75A3" w:rsidRDefault="006D75A3" w:rsidP="006D75A3">
      <w:pPr>
        <w:pStyle w:val="DapaBiblioListing"/>
        <w:numPr>
          <w:ilvl w:val="0"/>
          <w:numId w:val="0"/>
        </w:numPr>
        <w:ind w:left="360" w:hanging="360"/>
        <w:rPr>
          <w:rStyle w:val="Hyperlink"/>
          <w:u w:val="none"/>
          <w:lang w:val="en-US"/>
        </w:rPr>
      </w:pPr>
      <w:r w:rsidRPr="006D75A3">
        <w:rPr>
          <w:rStyle w:val="Hyperlink"/>
          <w:color w:val="auto"/>
          <w:u w:val="none"/>
          <w:lang w:val="en-US"/>
        </w:rPr>
        <w:t xml:space="preserve">7.   Risk of cardiovascular events and death associated with initiation of SGLT2 inhibitors compared with DPP-4 inhibitors: an analysis from the CVD-REAL 2 multinational cohort study. Kohsaka S, Lam CSP, Kim DJ, Cavender MA, Norhammar A, Jørgensen ME, Birkeland KI, Holl RW, Franch-Nadal J, Tangri N,  Shaw JE, </w:t>
      </w:r>
      <w:proofErr w:type="spellStart"/>
      <w:r w:rsidRPr="006D75A3">
        <w:rPr>
          <w:rStyle w:val="Hyperlink"/>
          <w:color w:val="auto"/>
          <w:u w:val="none"/>
          <w:lang w:val="en-US"/>
        </w:rPr>
        <w:t>Ilomäki</w:t>
      </w:r>
      <w:proofErr w:type="spellEnd"/>
      <w:r w:rsidRPr="006D75A3">
        <w:rPr>
          <w:rStyle w:val="Hyperlink"/>
          <w:color w:val="auto"/>
          <w:u w:val="none"/>
          <w:lang w:val="en-US"/>
        </w:rPr>
        <w:t xml:space="preserve"> J, Karasik A, Goh </w:t>
      </w:r>
      <w:r w:rsidRPr="006D75A3">
        <w:rPr>
          <w:rStyle w:val="Hyperlink"/>
          <w:color w:val="auto"/>
          <w:u w:val="none"/>
          <w:lang w:val="en-US"/>
        </w:rPr>
        <w:lastRenderedPageBreak/>
        <w:t xml:space="preserve">SY, Chiang CE, Thuresson M, Chen H, Wittbrodt E, Bodegård J, Surmont F, Fenici P, Kosiborod M, for the CVD-REAL 2 Investigators and Study Group. </w:t>
      </w:r>
      <w:r w:rsidRPr="006D75A3">
        <w:rPr>
          <w:rStyle w:val="Hyperlink"/>
          <w:i/>
          <w:color w:val="auto"/>
          <w:u w:val="none"/>
          <w:lang w:val="en-US"/>
        </w:rPr>
        <w:t xml:space="preserve">Lancet Diab Endocrinol. </w:t>
      </w:r>
      <w:r w:rsidRPr="006D75A3">
        <w:rPr>
          <w:rStyle w:val="Hyperlink"/>
          <w:color w:val="auto"/>
          <w:u w:val="none"/>
          <w:lang w:val="en-US"/>
        </w:rPr>
        <w:t>2020;8(7):606-615.</w:t>
      </w:r>
      <w:r w:rsidRPr="006D75A3">
        <w:rPr>
          <w:rStyle w:val="Hyperlink"/>
          <w:u w:val="none"/>
          <w:lang w:val="en-US"/>
        </w:rPr>
        <w:t xml:space="preserve">  </w:t>
      </w:r>
    </w:p>
    <w:p w:rsidR="006D75A3" w:rsidRDefault="006D75A3" w:rsidP="006D75A3">
      <w:pPr>
        <w:pStyle w:val="DapaBiblioListing"/>
        <w:numPr>
          <w:ilvl w:val="0"/>
          <w:numId w:val="0"/>
        </w:numPr>
        <w:ind w:left="360" w:hanging="360"/>
        <w:rPr>
          <w:rStyle w:val="Hyperlink"/>
          <w:color w:val="auto"/>
          <w:lang w:val="en-US"/>
        </w:rPr>
      </w:pPr>
      <w:r w:rsidRPr="006D75A3">
        <w:rPr>
          <w:rStyle w:val="Hyperlink"/>
          <w:color w:val="auto"/>
          <w:u w:val="none"/>
          <w:lang w:val="en-US"/>
        </w:rPr>
        <w:t>8.</w:t>
      </w:r>
      <w:r w:rsidRPr="006D75A3">
        <w:rPr>
          <w:rStyle w:val="Hyperlink"/>
          <w:u w:val="none"/>
          <w:lang w:val="en-US"/>
        </w:rPr>
        <w:t xml:space="preserve">   </w:t>
      </w:r>
      <w:r w:rsidRPr="006D75A3">
        <w:rPr>
          <w:rStyle w:val="Hyperlink"/>
          <w:color w:val="auto"/>
          <w:u w:val="none"/>
          <w:lang w:val="en-US"/>
        </w:rPr>
        <w:t xml:space="preserve">Sodium-glucose cotransporter 2 inhibitors compared with other glucose-lowering drugs in Japan: </w:t>
      </w:r>
      <w:proofErr w:type="spellStart"/>
      <w:r w:rsidRPr="006D75A3">
        <w:rPr>
          <w:rStyle w:val="Hyperlink"/>
          <w:color w:val="auto"/>
          <w:u w:val="none"/>
          <w:lang w:val="en-US"/>
        </w:rPr>
        <w:t>Subanalyses</w:t>
      </w:r>
      <w:proofErr w:type="spellEnd"/>
      <w:r w:rsidRPr="006D75A3">
        <w:rPr>
          <w:rStyle w:val="Hyperlink"/>
          <w:color w:val="auto"/>
          <w:u w:val="none"/>
          <w:lang w:val="en-US"/>
        </w:rPr>
        <w:t xml:space="preserve"> of the CVD-REAL 2 Study. Kohsaka S, Takeda M, Bodegård J, Thuresson M, Kosiborod M, Yajima T, Wittbrodt E, Fenici P.</w:t>
      </w:r>
      <w:r w:rsidRPr="00915200">
        <w:rPr>
          <w:rStyle w:val="Hyperlink"/>
          <w:color w:val="auto"/>
          <w:lang w:val="en-US"/>
        </w:rPr>
        <w:t xml:space="preserve"> </w:t>
      </w:r>
      <w:r w:rsidRPr="00915200">
        <w:rPr>
          <w:rStyle w:val="Hyperlink"/>
          <w:i/>
          <w:color w:val="auto"/>
          <w:lang w:val="en-US"/>
        </w:rPr>
        <w:t xml:space="preserve">J Diabetes </w:t>
      </w:r>
      <w:proofErr w:type="spellStart"/>
      <w:r w:rsidRPr="00915200">
        <w:rPr>
          <w:rStyle w:val="Hyperlink"/>
          <w:i/>
          <w:color w:val="auto"/>
          <w:lang w:val="en-US"/>
        </w:rPr>
        <w:t>Investig</w:t>
      </w:r>
      <w:proofErr w:type="spellEnd"/>
      <w:r w:rsidRPr="00915200">
        <w:rPr>
          <w:rStyle w:val="Hyperlink"/>
          <w:color w:val="auto"/>
          <w:lang w:val="en-US"/>
        </w:rPr>
        <w:t>. 2020.doi: 10.1111/jdi.13321. [</w:t>
      </w:r>
      <w:proofErr w:type="spellStart"/>
      <w:r w:rsidRPr="00915200">
        <w:rPr>
          <w:rStyle w:val="Hyperlink"/>
          <w:color w:val="auto"/>
          <w:lang w:val="en-US"/>
        </w:rPr>
        <w:t>Epub</w:t>
      </w:r>
      <w:proofErr w:type="spellEnd"/>
      <w:r w:rsidRPr="00915200">
        <w:rPr>
          <w:rStyle w:val="Hyperlink"/>
          <w:color w:val="auto"/>
          <w:lang w:val="en-US"/>
        </w:rPr>
        <w:t xml:space="preserve"> ahead of print].  </w:t>
      </w:r>
    </w:p>
    <w:p w:rsidR="006D75A3" w:rsidRPr="00052746" w:rsidRDefault="006D75A3" w:rsidP="006D75A3">
      <w:pPr>
        <w:pStyle w:val="DapaBiblioListing"/>
        <w:numPr>
          <w:ilvl w:val="0"/>
          <w:numId w:val="0"/>
        </w:numPr>
        <w:ind w:left="360" w:hanging="360"/>
        <w:rPr>
          <w:color w:val="auto"/>
        </w:rPr>
      </w:pPr>
      <w:r w:rsidRPr="00F74168">
        <w:rPr>
          <w:rStyle w:val="Hyperlink"/>
          <w:lang w:val="en-US"/>
        </w:rPr>
        <w:t xml:space="preserve"> </w:t>
      </w:r>
    </w:p>
    <w:p w:rsidR="006D75A3" w:rsidRDefault="006D75A3" w:rsidP="006D75A3">
      <w:pPr>
        <w:pStyle w:val="A-Unassigned"/>
        <w:outlineLvl w:val="0"/>
      </w:pPr>
      <w:r>
        <w:t>Objectives and criteria for evaluation</w:t>
      </w:r>
    </w:p>
    <w:p w:rsidR="006D75A3" w:rsidRDefault="006D75A3" w:rsidP="006D75A3">
      <w:pPr>
        <w:pStyle w:val="Caption"/>
      </w:pPr>
      <w:r>
        <w:t>Table S</w:t>
      </w:r>
      <w:r>
        <w:fldChar w:fldCharType="begin"/>
      </w:r>
      <w:r>
        <w:instrText xml:space="preserve"> SEQ Table \* ARABIC </w:instrText>
      </w:r>
      <w:r>
        <w:fldChar w:fldCharType="separate"/>
      </w:r>
      <w:r>
        <w:rPr>
          <w:noProof/>
        </w:rPr>
        <w:t>1</w:t>
      </w:r>
      <w:r>
        <w:fldChar w:fldCharType="end"/>
      </w:r>
      <w:r>
        <w:tab/>
        <w:t>Objectives and outcome variables</w:t>
      </w:r>
    </w:p>
    <w:tbl>
      <w:tblPr>
        <w:tblW w:w="4876" w:type="pct"/>
        <w:tblLayout w:type="fixed"/>
        <w:tblLook w:val="0000" w:firstRow="0" w:lastRow="0" w:firstColumn="0" w:lastColumn="0" w:noHBand="0" w:noVBand="0"/>
      </w:tblPr>
      <w:tblGrid>
        <w:gridCol w:w="1159"/>
        <w:gridCol w:w="1984"/>
        <w:gridCol w:w="2927"/>
        <w:gridCol w:w="2805"/>
      </w:tblGrid>
      <w:tr w:rsidR="006D75A3" w:rsidTr="00732889">
        <w:trPr>
          <w:cantSplit/>
        </w:trPr>
        <w:tc>
          <w:tcPr>
            <w:tcW w:w="653" w:type="pct"/>
            <w:tcBorders>
              <w:top w:val="single" w:sz="6" w:space="0" w:color="auto"/>
            </w:tcBorders>
          </w:tcPr>
          <w:p w:rsidR="006D75A3" w:rsidRDefault="006D75A3" w:rsidP="00732889">
            <w:pPr>
              <w:pStyle w:val="A-TableText"/>
              <w:rPr>
                <w:sz w:val="20"/>
              </w:rPr>
            </w:pPr>
            <w:r>
              <w:rPr>
                <w:sz w:val="20"/>
              </w:rPr>
              <w:t>Primary</w:t>
            </w:r>
          </w:p>
        </w:tc>
        <w:tc>
          <w:tcPr>
            <w:tcW w:w="1118" w:type="pct"/>
            <w:tcBorders>
              <w:top w:val="single" w:sz="6" w:space="0" w:color="auto"/>
            </w:tcBorders>
          </w:tcPr>
          <w:p w:rsidR="006D75A3" w:rsidRDefault="006D75A3" w:rsidP="00732889">
            <w:pPr>
              <w:pStyle w:val="A-TableText"/>
              <w:jc w:val="center"/>
              <w:rPr>
                <w:sz w:val="20"/>
              </w:rPr>
            </w:pPr>
            <w:r>
              <w:rPr>
                <w:sz w:val="20"/>
              </w:rPr>
              <w:t>Descriptive</w:t>
            </w:r>
          </w:p>
        </w:tc>
        <w:tc>
          <w:tcPr>
            <w:tcW w:w="1649" w:type="pct"/>
            <w:tcBorders>
              <w:top w:val="single" w:sz="6" w:space="0" w:color="auto"/>
              <w:right w:val="single" w:sz="12" w:space="0" w:color="auto"/>
            </w:tcBorders>
          </w:tcPr>
          <w:p w:rsidR="006D75A3" w:rsidRPr="00A023A8" w:rsidRDefault="006D75A3" w:rsidP="00732889">
            <w:pPr>
              <w:pStyle w:val="A-StudyTitle"/>
              <w:tabs>
                <w:tab w:val="left" w:pos="284"/>
              </w:tabs>
              <w:rPr>
                <w:b w:val="0"/>
                <w:sz w:val="24"/>
                <w:szCs w:val="24"/>
              </w:rPr>
            </w:pPr>
            <w:r w:rsidRPr="00A41DFB">
              <w:rPr>
                <w:b w:val="0"/>
                <w:sz w:val="24"/>
                <w:szCs w:val="24"/>
              </w:rPr>
              <w:t>To describe the characteristics</w:t>
            </w:r>
            <w:r>
              <w:rPr>
                <w:b w:val="0"/>
                <w:sz w:val="24"/>
                <w:szCs w:val="24"/>
              </w:rPr>
              <w:t xml:space="preserve">, including cardiovascular medications and morbidity, </w:t>
            </w:r>
            <w:r w:rsidRPr="00A41DFB">
              <w:rPr>
                <w:b w:val="0"/>
                <w:sz w:val="24"/>
                <w:szCs w:val="24"/>
              </w:rPr>
              <w:t>of patients with T2DM initiating use of SGLT-2</w:t>
            </w:r>
            <w:r>
              <w:rPr>
                <w:b w:val="0"/>
                <w:sz w:val="24"/>
                <w:szCs w:val="24"/>
              </w:rPr>
              <w:t>i</w:t>
            </w:r>
            <w:r w:rsidRPr="00A41DFB">
              <w:rPr>
                <w:b w:val="0"/>
                <w:sz w:val="24"/>
                <w:szCs w:val="24"/>
              </w:rPr>
              <w:t xml:space="preserve"> and DPP-4</w:t>
            </w:r>
            <w:r>
              <w:rPr>
                <w:b w:val="0"/>
                <w:sz w:val="24"/>
                <w:szCs w:val="24"/>
              </w:rPr>
              <w:t>i</w:t>
            </w:r>
            <w:r w:rsidRPr="00A41DFB">
              <w:rPr>
                <w:b w:val="0"/>
                <w:sz w:val="24"/>
                <w:szCs w:val="24"/>
              </w:rPr>
              <w:t>, SU</w:t>
            </w:r>
            <w:r>
              <w:rPr>
                <w:b w:val="0"/>
                <w:sz w:val="24"/>
                <w:szCs w:val="24"/>
              </w:rPr>
              <w:t>, GLP-1 RA</w:t>
            </w:r>
            <w:r w:rsidRPr="00A41DFB">
              <w:rPr>
                <w:b w:val="0"/>
                <w:sz w:val="24"/>
                <w:szCs w:val="24"/>
              </w:rPr>
              <w:t xml:space="preserve"> and </w:t>
            </w:r>
            <w:r w:rsidRPr="00AA382C">
              <w:rPr>
                <w:b w:val="0"/>
                <w:sz w:val="24"/>
                <w:szCs w:val="24"/>
              </w:rPr>
              <w:t>other standard of care treatments</w:t>
            </w:r>
            <w:r>
              <w:rPr>
                <w:b w:val="0"/>
                <w:sz w:val="24"/>
                <w:szCs w:val="24"/>
              </w:rPr>
              <w:t xml:space="preserve"> as well as a group of matched comparators</w:t>
            </w:r>
            <w:r w:rsidRPr="00A41DFB">
              <w:rPr>
                <w:b w:val="0"/>
                <w:sz w:val="24"/>
                <w:szCs w:val="24"/>
              </w:rPr>
              <w:t>, respectively in clinical practice</w:t>
            </w:r>
            <w:r>
              <w:rPr>
                <w:b w:val="0"/>
                <w:sz w:val="24"/>
                <w:szCs w:val="24"/>
              </w:rPr>
              <w:t xml:space="preserve"> to identify baseline variables that are different between the treatment groups.</w:t>
            </w:r>
          </w:p>
        </w:tc>
        <w:tc>
          <w:tcPr>
            <w:tcW w:w="1580" w:type="pct"/>
            <w:tcBorders>
              <w:top w:val="single" w:sz="6" w:space="0" w:color="auto"/>
              <w:left w:val="single" w:sz="12" w:space="0" w:color="auto"/>
            </w:tcBorders>
          </w:tcPr>
          <w:p w:rsidR="006D75A3" w:rsidRDefault="006D75A3" w:rsidP="00732889">
            <w:pPr>
              <w:pStyle w:val="A-TableText"/>
              <w:rPr>
                <w:strike/>
                <w:sz w:val="20"/>
              </w:rPr>
            </w:pPr>
            <w:r>
              <w:rPr>
                <w:sz w:val="24"/>
                <w:szCs w:val="24"/>
              </w:rPr>
              <w:t xml:space="preserve">Patient </w:t>
            </w:r>
            <w:r w:rsidRPr="00A41DFB">
              <w:rPr>
                <w:sz w:val="24"/>
                <w:szCs w:val="24"/>
              </w:rPr>
              <w:t>characteristics</w:t>
            </w:r>
            <w:r>
              <w:rPr>
                <w:sz w:val="24"/>
                <w:szCs w:val="24"/>
              </w:rPr>
              <w:t>, including cardiovascular medications and morbidity</w:t>
            </w:r>
          </w:p>
        </w:tc>
      </w:tr>
      <w:tr w:rsidR="006D75A3" w:rsidTr="00732889">
        <w:trPr>
          <w:cantSplit/>
        </w:trPr>
        <w:tc>
          <w:tcPr>
            <w:tcW w:w="653" w:type="pct"/>
          </w:tcPr>
          <w:p w:rsidR="006D75A3" w:rsidRPr="00490134" w:rsidRDefault="006D75A3" w:rsidP="00732889">
            <w:pPr>
              <w:pStyle w:val="A-TableText"/>
              <w:rPr>
                <w:sz w:val="20"/>
              </w:rPr>
            </w:pPr>
            <w:r>
              <w:rPr>
                <w:sz w:val="20"/>
              </w:rPr>
              <w:t>Primary</w:t>
            </w:r>
          </w:p>
        </w:tc>
        <w:tc>
          <w:tcPr>
            <w:tcW w:w="1118" w:type="pct"/>
          </w:tcPr>
          <w:p w:rsidR="006D75A3" w:rsidRDefault="006D75A3" w:rsidP="00732889">
            <w:pPr>
              <w:pStyle w:val="A-TableText"/>
              <w:jc w:val="center"/>
              <w:rPr>
                <w:sz w:val="20"/>
              </w:rPr>
            </w:pPr>
            <w:r>
              <w:rPr>
                <w:sz w:val="20"/>
              </w:rPr>
              <w:t>Descriptive</w:t>
            </w:r>
          </w:p>
        </w:tc>
        <w:tc>
          <w:tcPr>
            <w:tcW w:w="1649" w:type="pct"/>
            <w:tcBorders>
              <w:right w:val="single" w:sz="12" w:space="0" w:color="auto"/>
            </w:tcBorders>
          </w:tcPr>
          <w:p w:rsidR="006D75A3" w:rsidRPr="00A023A8" w:rsidRDefault="006D75A3" w:rsidP="00732889">
            <w:pPr>
              <w:pStyle w:val="A-StudyTitle"/>
              <w:tabs>
                <w:tab w:val="left" w:pos="284"/>
              </w:tabs>
              <w:rPr>
                <w:b w:val="0"/>
                <w:sz w:val="24"/>
                <w:szCs w:val="24"/>
              </w:rPr>
            </w:pPr>
            <w:r w:rsidRPr="00EC3E51">
              <w:rPr>
                <w:b w:val="0"/>
                <w:sz w:val="24"/>
                <w:szCs w:val="24"/>
              </w:rPr>
              <w:t>To describe the characteristics</w:t>
            </w:r>
            <w:r>
              <w:rPr>
                <w:b w:val="0"/>
                <w:sz w:val="24"/>
                <w:szCs w:val="24"/>
              </w:rPr>
              <w:t>, including cardiovascular medications and morbidity,</w:t>
            </w:r>
            <w:r w:rsidRPr="00EC3E51">
              <w:rPr>
                <w:b w:val="0"/>
                <w:sz w:val="24"/>
                <w:szCs w:val="24"/>
              </w:rPr>
              <w:t xml:space="preserve"> of patients with T2DM at high baseline risk for CV outcomes initiating use of </w:t>
            </w:r>
            <w:r>
              <w:rPr>
                <w:b w:val="0"/>
                <w:sz w:val="24"/>
                <w:szCs w:val="24"/>
              </w:rPr>
              <w:t>SGLT-2i</w:t>
            </w:r>
            <w:r w:rsidRPr="00EC3E51">
              <w:rPr>
                <w:b w:val="0"/>
                <w:sz w:val="24"/>
                <w:szCs w:val="24"/>
              </w:rPr>
              <w:t xml:space="preserve"> and </w:t>
            </w:r>
            <w:r>
              <w:rPr>
                <w:b w:val="0"/>
                <w:sz w:val="24"/>
                <w:szCs w:val="24"/>
              </w:rPr>
              <w:t>DPP-4i</w:t>
            </w:r>
            <w:r w:rsidRPr="00EC3E51">
              <w:rPr>
                <w:b w:val="0"/>
                <w:sz w:val="24"/>
                <w:szCs w:val="24"/>
              </w:rPr>
              <w:t>, SU</w:t>
            </w:r>
            <w:r>
              <w:rPr>
                <w:b w:val="0"/>
                <w:sz w:val="24"/>
                <w:szCs w:val="24"/>
              </w:rPr>
              <w:t>, GLP-1 RA</w:t>
            </w:r>
            <w:r w:rsidRPr="00EC3E51">
              <w:rPr>
                <w:b w:val="0"/>
                <w:sz w:val="24"/>
                <w:szCs w:val="24"/>
              </w:rPr>
              <w:t xml:space="preserve"> and </w:t>
            </w:r>
            <w:r w:rsidRPr="00AA382C">
              <w:rPr>
                <w:b w:val="0"/>
                <w:sz w:val="24"/>
                <w:szCs w:val="24"/>
              </w:rPr>
              <w:t>other standard of care treatments</w:t>
            </w:r>
            <w:r>
              <w:rPr>
                <w:b w:val="0"/>
                <w:sz w:val="24"/>
                <w:szCs w:val="24"/>
              </w:rPr>
              <w:t xml:space="preserve"> as well as a group of matched comparators,</w:t>
            </w:r>
            <w:r w:rsidRPr="00EC3E51">
              <w:rPr>
                <w:b w:val="0"/>
                <w:sz w:val="24"/>
                <w:szCs w:val="24"/>
              </w:rPr>
              <w:t xml:space="preserve"> </w:t>
            </w:r>
            <w:r>
              <w:rPr>
                <w:b w:val="0"/>
                <w:sz w:val="24"/>
                <w:szCs w:val="24"/>
              </w:rPr>
              <w:t xml:space="preserve">respectively, </w:t>
            </w:r>
            <w:r w:rsidRPr="00EC3E51">
              <w:rPr>
                <w:b w:val="0"/>
                <w:sz w:val="24"/>
                <w:szCs w:val="24"/>
              </w:rPr>
              <w:t>in clinical practice</w:t>
            </w:r>
            <w:r>
              <w:rPr>
                <w:b w:val="0"/>
                <w:sz w:val="24"/>
                <w:szCs w:val="24"/>
              </w:rPr>
              <w:t xml:space="preserve"> to identify baseline variables that are different between the treatment groups</w:t>
            </w:r>
          </w:p>
        </w:tc>
        <w:tc>
          <w:tcPr>
            <w:tcW w:w="1580" w:type="pct"/>
            <w:tcBorders>
              <w:left w:val="single" w:sz="12" w:space="0" w:color="auto"/>
            </w:tcBorders>
          </w:tcPr>
          <w:p w:rsidR="006D75A3" w:rsidRDefault="006D75A3" w:rsidP="00732889">
            <w:pPr>
              <w:pStyle w:val="A-TableText"/>
              <w:rPr>
                <w:strike/>
                <w:sz w:val="20"/>
              </w:rPr>
            </w:pPr>
            <w:r>
              <w:rPr>
                <w:sz w:val="24"/>
                <w:szCs w:val="24"/>
              </w:rPr>
              <w:t xml:space="preserve">Patient </w:t>
            </w:r>
            <w:r w:rsidRPr="00A41DFB">
              <w:rPr>
                <w:sz w:val="24"/>
                <w:szCs w:val="24"/>
              </w:rPr>
              <w:t>characteristics</w:t>
            </w:r>
            <w:r>
              <w:rPr>
                <w:sz w:val="24"/>
                <w:szCs w:val="24"/>
              </w:rPr>
              <w:t>, including cardiovascular medications and morbidity</w:t>
            </w:r>
          </w:p>
        </w:tc>
      </w:tr>
      <w:tr w:rsidR="006D75A3" w:rsidTr="00732889">
        <w:trPr>
          <w:cantSplit/>
        </w:trPr>
        <w:tc>
          <w:tcPr>
            <w:tcW w:w="653" w:type="pct"/>
          </w:tcPr>
          <w:p w:rsidR="006D75A3" w:rsidRPr="00490134" w:rsidRDefault="006D75A3" w:rsidP="00732889">
            <w:pPr>
              <w:pStyle w:val="A-TableText"/>
              <w:rPr>
                <w:sz w:val="20"/>
              </w:rPr>
            </w:pPr>
            <w:r w:rsidRPr="00490134">
              <w:rPr>
                <w:sz w:val="20"/>
              </w:rPr>
              <w:lastRenderedPageBreak/>
              <w:t>Primary</w:t>
            </w:r>
          </w:p>
        </w:tc>
        <w:tc>
          <w:tcPr>
            <w:tcW w:w="1118" w:type="pct"/>
          </w:tcPr>
          <w:p w:rsidR="006D75A3" w:rsidRDefault="006D75A3" w:rsidP="00732889">
            <w:pPr>
              <w:pStyle w:val="A-TableText"/>
              <w:jc w:val="center"/>
              <w:rPr>
                <w:sz w:val="20"/>
              </w:rPr>
            </w:pPr>
            <w:r>
              <w:rPr>
                <w:sz w:val="20"/>
              </w:rPr>
              <w:t>Descriptive</w:t>
            </w:r>
          </w:p>
        </w:tc>
        <w:tc>
          <w:tcPr>
            <w:tcW w:w="1649" w:type="pct"/>
            <w:tcBorders>
              <w:right w:val="single" w:sz="12" w:space="0" w:color="auto"/>
            </w:tcBorders>
          </w:tcPr>
          <w:p w:rsidR="006D75A3" w:rsidRPr="00A023A8" w:rsidRDefault="006D75A3" w:rsidP="00732889">
            <w:pPr>
              <w:pStyle w:val="A-StudyTitle"/>
              <w:tabs>
                <w:tab w:val="left" w:pos="284"/>
              </w:tabs>
              <w:rPr>
                <w:b w:val="0"/>
                <w:sz w:val="24"/>
                <w:szCs w:val="24"/>
              </w:rPr>
            </w:pPr>
            <w:r>
              <w:rPr>
                <w:b w:val="0"/>
                <w:sz w:val="24"/>
                <w:szCs w:val="24"/>
              </w:rPr>
              <w:t xml:space="preserve">To describe the distribution of characteristics of patients, including cardiovascular medications and morbidity, by different diabetes medications in the group of </w:t>
            </w:r>
            <w:r w:rsidRPr="00AA382C">
              <w:rPr>
                <w:b w:val="0"/>
                <w:sz w:val="24"/>
                <w:szCs w:val="24"/>
              </w:rPr>
              <w:t>other standard of care treatments</w:t>
            </w:r>
            <w:r>
              <w:rPr>
                <w:b w:val="0"/>
                <w:sz w:val="24"/>
                <w:szCs w:val="24"/>
              </w:rPr>
              <w:t xml:space="preserve"> and matched comparators.</w:t>
            </w:r>
          </w:p>
        </w:tc>
        <w:tc>
          <w:tcPr>
            <w:tcW w:w="1580" w:type="pct"/>
            <w:tcBorders>
              <w:left w:val="single" w:sz="12" w:space="0" w:color="auto"/>
            </w:tcBorders>
          </w:tcPr>
          <w:p w:rsidR="006D75A3" w:rsidRDefault="006D75A3" w:rsidP="00732889">
            <w:pPr>
              <w:pStyle w:val="A-TableText"/>
              <w:rPr>
                <w:sz w:val="20"/>
              </w:rPr>
            </w:pPr>
            <w:r>
              <w:rPr>
                <w:sz w:val="24"/>
                <w:szCs w:val="24"/>
              </w:rPr>
              <w:t>Distribution of characteristics of patients, including cardiovascular medications and morbidity</w:t>
            </w:r>
          </w:p>
        </w:tc>
      </w:tr>
      <w:tr w:rsidR="006D75A3" w:rsidTr="00732889">
        <w:trPr>
          <w:cantSplit/>
        </w:trPr>
        <w:tc>
          <w:tcPr>
            <w:tcW w:w="653" w:type="pct"/>
          </w:tcPr>
          <w:p w:rsidR="006D75A3" w:rsidRPr="00490134" w:rsidRDefault="006D75A3" w:rsidP="00732889">
            <w:pPr>
              <w:pStyle w:val="A-TableText"/>
              <w:rPr>
                <w:sz w:val="20"/>
              </w:rPr>
            </w:pPr>
            <w:r w:rsidRPr="00490134">
              <w:rPr>
                <w:sz w:val="20"/>
              </w:rPr>
              <w:t>Primary</w:t>
            </w:r>
          </w:p>
        </w:tc>
        <w:tc>
          <w:tcPr>
            <w:tcW w:w="1118" w:type="pct"/>
          </w:tcPr>
          <w:p w:rsidR="006D75A3" w:rsidRDefault="006D75A3" w:rsidP="00732889">
            <w:pPr>
              <w:pStyle w:val="A-TableText"/>
              <w:jc w:val="center"/>
              <w:rPr>
                <w:sz w:val="20"/>
              </w:rPr>
            </w:pPr>
            <w:r>
              <w:rPr>
                <w:sz w:val="20"/>
              </w:rPr>
              <w:t>Descriptive</w:t>
            </w:r>
          </w:p>
        </w:tc>
        <w:tc>
          <w:tcPr>
            <w:tcW w:w="1649" w:type="pct"/>
            <w:tcBorders>
              <w:right w:val="single" w:sz="12" w:space="0" w:color="auto"/>
            </w:tcBorders>
          </w:tcPr>
          <w:p w:rsidR="006D75A3" w:rsidRPr="00A023A8" w:rsidRDefault="006D75A3" w:rsidP="00732889">
            <w:pPr>
              <w:pStyle w:val="A-StudyTitle"/>
              <w:tabs>
                <w:tab w:val="left" w:pos="284"/>
              </w:tabs>
              <w:rPr>
                <w:b w:val="0"/>
                <w:sz w:val="24"/>
                <w:szCs w:val="24"/>
              </w:rPr>
            </w:pPr>
            <w:r w:rsidRPr="004B4867">
              <w:rPr>
                <w:b w:val="0"/>
                <w:sz w:val="24"/>
                <w:szCs w:val="24"/>
              </w:rPr>
              <w:t xml:space="preserve">To describe which </w:t>
            </w:r>
            <w:r>
              <w:rPr>
                <w:b w:val="0"/>
                <w:sz w:val="24"/>
                <w:szCs w:val="24"/>
              </w:rPr>
              <w:t>diabetes</w:t>
            </w:r>
            <w:r w:rsidRPr="004B4867">
              <w:rPr>
                <w:b w:val="0"/>
                <w:sz w:val="24"/>
                <w:szCs w:val="24"/>
              </w:rPr>
              <w:t xml:space="preserve"> medication</w:t>
            </w:r>
            <w:r>
              <w:rPr>
                <w:b w:val="0"/>
                <w:sz w:val="24"/>
                <w:szCs w:val="24"/>
              </w:rPr>
              <w:t>s</w:t>
            </w:r>
            <w:r w:rsidRPr="004B4867">
              <w:rPr>
                <w:b w:val="0"/>
                <w:sz w:val="24"/>
                <w:szCs w:val="24"/>
              </w:rPr>
              <w:t xml:space="preserve"> patient initiating </w:t>
            </w:r>
            <w:r>
              <w:rPr>
                <w:b w:val="0"/>
                <w:sz w:val="24"/>
                <w:szCs w:val="24"/>
              </w:rPr>
              <w:t>SGLT-2i</w:t>
            </w:r>
            <w:r w:rsidRPr="004B4867">
              <w:rPr>
                <w:b w:val="0"/>
                <w:sz w:val="24"/>
                <w:szCs w:val="24"/>
              </w:rPr>
              <w:t xml:space="preserve"> use</w:t>
            </w:r>
            <w:r>
              <w:rPr>
                <w:b w:val="0"/>
                <w:sz w:val="24"/>
                <w:szCs w:val="24"/>
              </w:rPr>
              <w:t>d</w:t>
            </w:r>
            <w:r w:rsidRPr="004B4867">
              <w:rPr>
                <w:b w:val="0"/>
                <w:sz w:val="24"/>
                <w:szCs w:val="24"/>
              </w:rPr>
              <w:t xml:space="preserve"> when initiating </w:t>
            </w:r>
            <w:r>
              <w:rPr>
                <w:b w:val="0"/>
                <w:sz w:val="24"/>
                <w:szCs w:val="24"/>
              </w:rPr>
              <w:t>SGLT-2i</w:t>
            </w:r>
            <w:r w:rsidRPr="004B4867">
              <w:rPr>
                <w:b w:val="0"/>
                <w:sz w:val="24"/>
                <w:szCs w:val="24"/>
              </w:rPr>
              <w:t xml:space="preserve"> use</w:t>
            </w:r>
            <w:r>
              <w:rPr>
                <w:b w:val="0"/>
                <w:sz w:val="24"/>
                <w:szCs w:val="24"/>
              </w:rPr>
              <w:t>.</w:t>
            </w:r>
            <w:r w:rsidRPr="004B4867">
              <w:rPr>
                <w:b w:val="0"/>
                <w:sz w:val="24"/>
                <w:szCs w:val="24"/>
              </w:rPr>
              <w:t xml:space="preserve"> </w:t>
            </w:r>
          </w:p>
        </w:tc>
        <w:tc>
          <w:tcPr>
            <w:tcW w:w="1580" w:type="pct"/>
            <w:tcBorders>
              <w:left w:val="single" w:sz="12" w:space="0" w:color="auto"/>
            </w:tcBorders>
          </w:tcPr>
          <w:p w:rsidR="006D75A3" w:rsidRPr="00056391" w:rsidRDefault="006D75A3" w:rsidP="00732889">
            <w:pPr>
              <w:pStyle w:val="A-TableText"/>
              <w:rPr>
                <w:sz w:val="24"/>
                <w:szCs w:val="24"/>
              </w:rPr>
            </w:pPr>
            <w:r w:rsidRPr="00056391">
              <w:rPr>
                <w:sz w:val="24"/>
                <w:szCs w:val="24"/>
              </w:rPr>
              <w:t xml:space="preserve">Specific diabetes medications </w:t>
            </w:r>
          </w:p>
        </w:tc>
      </w:tr>
      <w:tr w:rsidR="006D75A3" w:rsidTr="00732889">
        <w:trPr>
          <w:cantSplit/>
        </w:trPr>
        <w:tc>
          <w:tcPr>
            <w:tcW w:w="653" w:type="pct"/>
          </w:tcPr>
          <w:p w:rsidR="006D75A3" w:rsidRPr="00490134" w:rsidRDefault="006D75A3" w:rsidP="00732889">
            <w:pPr>
              <w:pStyle w:val="A-TableText"/>
              <w:rPr>
                <w:sz w:val="20"/>
              </w:rPr>
            </w:pPr>
            <w:r>
              <w:rPr>
                <w:sz w:val="20"/>
              </w:rPr>
              <w:t>Primary</w:t>
            </w:r>
          </w:p>
        </w:tc>
        <w:tc>
          <w:tcPr>
            <w:tcW w:w="1118" w:type="pct"/>
          </w:tcPr>
          <w:p w:rsidR="006D75A3" w:rsidRDefault="006D75A3" w:rsidP="00732889">
            <w:pPr>
              <w:pStyle w:val="A-TableText"/>
              <w:jc w:val="center"/>
              <w:rPr>
                <w:sz w:val="20"/>
              </w:rPr>
            </w:pPr>
            <w:r>
              <w:rPr>
                <w:sz w:val="20"/>
              </w:rPr>
              <w:t>Descriptive</w:t>
            </w:r>
          </w:p>
        </w:tc>
        <w:tc>
          <w:tcPr>
            <w:tcW w:w="1649" w:type="pct"/>
            <w:tcBorders>
              <w:right w:val="single" w:sz="12" w:space="0" w:color="auto"/>
            </w:tcBorders>
          </w:tcPr>
          <w:p w:rsidR="006D75A3" w:rsidRPr="00A023A8" w:rsidRDefault="006D75A3" w:rsidP="00732889">
            <w:pPr>
              <w:pStyle w:val="A-StudyTitle"/>
              <w:tabs>
                <w:tab w:val="left" w:pos="284"/>
              </w:tabs>
              <w:rPr>
                <w:b w:val="0"/>
                <w:sz w:val="24"/>
                <w:szCs w:val="24"/>
              </w:rPr>
            </w:pPr>
            <w:r w:rsidRPr="00EC3E51">
              <w:rPr>
                <w:b w:val="0"/>
                <w:sz w:val="24"/>
                <w:szCs w:val="24"/>
              </w:rPr>
              <w:t xml:space="preserve">To describe the </w:t>
            </w:r>
            <w:r>
              <w:rPr>
                <w:b w:val="0"/>
                <w:sz w:val="24"/>
                <w:szCs w:val="24"/>
              </w:rPr>
              <w:t>incidence of</w:t>
            </w:r>
            <w:r w:rsidRPr="00EC3E51">
              <w:rPr>
                <w:b w:val="0"/>
                <w:sz w:val="24"/>
                <w:szCs w:val="24"/>
              </w:rPr>
              <w:t xml:space="preserve"> </w:t>
            </w:r>
            <w:r>
              <w:rPr>
                <w:b w:val="0"/>
                <w:sz w:val="24"/>
                <w:szCs w:val="24"/>
              </w:rPr>
              <w:t xml:space="preserve">hospitalisation for </w:t>
            </w:r>
            <w:r w:rsidRPr="00EC3E51">
              <w:rPr>
                <w:b w:val="0"/>
                <w:sz w:val="24"/>
                <w:szCs w:val="24"/>
              </w:rPr>
              <w:t>CV events</w:t>
            </w:r>
            <w:r>
              <w:rPr>
                <w:b w:val="0"/>
                <w:sz w:val="24"/>
                <w:szCs w:val="24"/>
              </w:rPr>
              <w:t xml:space="preserve"> (including heart failure)  </w:t>
            </w:r>
            <w:r w:rsidRPr="00EC3E51">
              <w:rPr>
                <w:b w:val="0"/>
                <w:sz w:val="24"/>
                <w:szCs w:val="24"/>
              </w:rPr>
              <w:t xml:space="preserve">and </w:t>
            </w:r>
            <w:r>
              <w:rPr>
                <w:b w:val="0"/>
                <w:sz w:val="24"/>
                <w:szCs w:val="24"/>
              </w:rPr>
              <w:t xml:space="preserve">the </w:t>
            </w:r>
            <w:r w:rsidRPr="00EC3E51">
              <w:rPr>
                <w:b w:val="0"/>
                <w:sz w:val="24"/>
                <w:szCs w:val="24"/>
              </w:rPr>
              <w:t>mortality</w:t>
            </w:r>
            <w:r>
              <w:rPr>
                <w:b w:val="0"/>
                <w:sz w:val="24"/>
                <w:szCs w:val="24"/>
              </w:rPr>
              <w:t xml:space="preserve"> rate for both all-causes death and for CV related death, respectively, among patients with T2DM</w:t>
            </w:r>
            <w:r w:rsidRPr="00EC3E51">
              <w:rPr>
                <w:b w:val="0"/>
                <w:sz w:val="24"/>
                <w:szCs w:val="24"/>
              </w:rPr>
              <w:t xml:space="preserve"> </w:t>
            </w:r>
            <w:r>
              <w:rPr>
                <w:b w:val="0"/>
                <w:sz w:val="24"/>
                <w:szCs w:val="24"/>
              </w:rPr>
              <w:t xml:space="preserve">who </w:t>
            </w:r>
            <w:r w:rsidRPr="00EC3E51">
              <w:rPr>
                <w:b w:val="0"/>
                <w:sz w:val="24"/>
                <w:szCs w:val="24"/>
              </w:rPr>
              <w:t>initia</w:t>
            </w:r>
            <w:r>
              <w:rPr>
                <w:b w:val="0"/>
                <w:sz w:val="24"/>
                <w:szCs w:val="24"/>
              </w:rPr>
              <w:t>te</w:t>
            </w:r>
            <w:r w:rsidRPr="00EC3E51">
              <w:rPr>
                <w:b w:val="0"/>
                <w:sz w:val="24"/>
                <w:szCs w:val="24"/>
              </w:rPr>
              <w:t xml:space="preserve"> treatment with </w:t>
            </w:r>
            <w:r>
              <w:rPr>
                <w:b w:val="0"/>
                <w:sz w:val="24"/>
                <w:szCs w:val="24"/>
              </w:rPr>
              <w:t>SGLT-2i</w:t>
            </w:r>
            <w:r w:rsidRPr="00EC3E51">
              <w:rPr>
                <w:b w:val="0"/>
                <w:sz w:val="24"/>
                <w:szCs w:val="24"/>
              </w:rPr>
              <w:t xml:space="preserve"> and </w:t>
            </w:r>
            <w:r>
              <w:rPr>
                <w:b w:val="0"/>
                <w:sz w:val="24"/>
                <w:szCs w:val="24"/>
              </w:rPr>
              <w:t>DPP-4i</w:t>
            </w:r>
            <w:r w:rsidRPr="00EC3E51">
              <w:rPr>
                <w:b w:val="0"/>
                <w:sz w:val="24"/>
                <w:szCs w:val="24"/>
              </w:rPr>
              <w:t>, SU</w:t>
            </w:r>
            <w:r>
              <w:rPr>
                <w:b w:val="0"/>
                <w:sz w:val="24"/>
                <w:szCs w:val="24"/>
              </w:rPr>
              <w:t>, GLP-1 RA</w:t>
            </w:r>
            <w:r w:rsidRPr="00EC3E51">
              <w:rPr>
                <w:b w:val="0"/>
                <w:sz w:val="24"/>
                <w:szCs w:val="24"/>
              </w:rPr>
              <w:t xml:space="preserve"> and </w:t>
            </w:r>
            <w:r w:rsidRPr="00AA382C">
              <w:rPr>
                <w:b w:val="0"/>
                <w:sz w:val="24"/>
                <w:szCs w:val="24"/>
              </w:rPr>
              <w:t>other standard of care treatments</w:t>
            </w:r>
            <w:r>
              <w:rPr>
                <w:b w:val="0"/>
                <w:sz w:val="24"/>
                <w:szCs w:val="24"/>
              </w:rPr>
              <w:t xml:space="preserve"> as well as the group of matched comparators by</w:t>
            </w:r>
            <w:r w:rsidRPr="00EC3E51">
              <w:rPr>
                <w:b w:val="0"/>
                <w:sz w:val="24"/>
                <w:szCs w:val="24"/>
              </w:rPr>
              <w:t xml:space="preserve"> baseline risk for CV outcomes</w:t>
            </w:r>
            <w:r>
              <w:rPr>
                <w:b w:val="0"/>
                <w:sz w:val="24"/>
                <w:szCs w:val="24"/>
              </w:rPr>
              <w:t>.</w:t>
            </w:r>
          </w:p>
        </w:tc>
        <w:tc>
          <w:tcPr>
            <w:tcW w:w="1580" w:type="pct"/>
            <w:tcBorders>
              <w:left w:val="single" w:sz="12" w:space="0" w:color="auto"/>
            </w:tcBorders>
          </w:tcPr>
          <w:p w:rsidR="006D75A3" w:rsidRDefault="006D75A3" w:rsidP="00732889">
            <w:pPr>
              <w:pStyle w:val="A-TableText"/>
              <w:rPr>
                <w:sz w:val="20"/>
              </w:rPr>
            </w:pPr>
            <w:r>
              <w:rPr>
                <w:sz w:val="24"/>
                <w:szCs w:val="24"/>
              </w:rPr>
              <w:t>Incidence of</w:t>
            </w:r>
            <w:r w:rsidRPr="00EC3E51">
              <w:rPr>
                <w:sz w:val="24"/>
                <w:szCs w:val="24"/>
              </w:rPr>
              <w:t xml:space="preserve"> </w:t>
            </w:r>
            <w:r>
              <w:rPr>
                <w:sz w:val="24"/>
                <w:szCs w:val="24"/>
              </w:rPr>
              <w:t xml:space="preserve">hospitalisation for </w:t>
            </w:r>
            <w:r w:rsidRPr="00EC3E51">
              <w:rPr>
                <w:sz w:val="24"/>
                <w:szCs w:val="24"/>
              </w:rPr>
              <w:t>CV events</w:t>
            </w:r>
            <w:r>
              <w:rPr>
                <w:sz w:val="24"/>
                <w:szCs w:val="24"/>
              </w:rPr>
              <w:t xml:space="preserve"> (including heart failure)  </w:t>
            </w:r>
            <w:r w:rsidRPr="00EC3E51">
              <w:rPr>
                <w:sz w:val="24"/>
                <w:szCs w:val="24"/>
              </w:rPr>
              <w:t xml:space="preserve">and </w:t>
            </w:r>
            <w:r>
              <w:rPr>
                <w:sz w:val="24"/>
                <w:szCs w:val="24"/>
              </w:rPr>
              <w:t xml:space="preserve">the </w:t>
            </w:r>
            <w:r w:rsidRPr="00EC3E51">
              <w:rPr>
                <w:sz w:val="24"/>
                <w:szCs w:val="24"/>
              </w:rPr>
              <w:t>mortality</w:t>
            </w:r>
            <w:r>
              <w:rPr>
                <w:sz w:val="24"/>
                <w:szCs w:val="24"/>
              </w:rPr>
              <w:t xml:space="preserve"> rate for both all-causes death and for CV related death,</w:t>
            </w:r>
          </w:p>
        </w:tc>
      </w:tr>
      <w:tr w:rsidR="006D75A3" w:rsidTr="00732889">
        <w:trPr>
          <w:cantSplit/>
        </w:trPr>
        <w:tc>
          <w:tcPr>
            <w:tcW w:w="653" w:type="pct"/>
          </w:tcPr>
          <w:p w:rsidR="006D75A3" w:rsidRPr="00490134" w:rsidRDefault="006D75A3" w:rsidP="00732889">
            <w:pPr>
              <w:pStyle w:val="A-TableText"/>
              <w:rPr>
                <w:sz w:val="20"/>
              </w:rPr>
            </w:pPr>
            <w:r>
              <w:rPr>
                <w:sz w:val="20"/>
              </w:rPr>
              <w:t>Primary</w:t>
            </w:r>
          </w:p>
        </w:tc>
        <w:tc>
          <w:tcPr>
            <w:tcW w:w="1118" w:type="pct"/>
          </w:tcPr>
          <w:p w:rsidR="006D75A3" w:rsidRDefault="006D75A3" w:rsidP="00732889">
            <w:pPr>
              <w:pStyle w:val="A-TableText"/>
              <w:jc w:val="center"/>
              <w:rPr>
                <w:sz w:val="20"/>
              </w:rPr>
            </w:pPr>
            <w:r>
              <w:rPr>
                <w:sz w:val="20"/>
              </w:rPr>
              <w:t>Descriptive</w:t>
            </w:r>
          </w:p>
        </w:tc>
        <w:tc>
          <w:tcPr>
            <w:tcW w:w="1649" w:type="pct"/>
            <w:tcBorders>
              <w:right w:val="single" w:sz="12" w:space="0" w:color="auto"/>
            </w:tcBorders>
          </w:tcPr>
          <w:p w:rsidR="006D75A3" w:rsidRPr="00A023A8" w:rsidRDefault="006D75A3" w:rsidP="00732889">
            <w:pPr>
              <w:pStyle w:val="A-StudyTitle"/>
              <w:tabs>
                <w:tab w:val="left" w:pos="284"/>
              </w:tabs>
              <w:rPr>
                <w:b w:val="0"/>
                <w:sz w:val="24"/>
                <w:szCs w:val="24"/>
              </w:rPr>
            </w:pPr>
            <w:r w:rsidRPr="00EC3E51">
              <w:rPr>
                <w:b w:val="0"/>
                <w:sz w:val="24"/>
                <w:szCs w:val="24"/>
              </w:rPr>
              <w:t xml:space="preserve">To calculate the propensity scores for the groups (new users of </w:t>
            </w:r>
            <w:r>
              <w:rPr>
                <w:b w:val="0"/>
                <w:sz w:val="24"/>
                <w:szCs w:val="24"/>
              </w:rPr>
              <w:t>SGLT-2i</w:t>
            </w:r>
            <w:r w:rsidRPr="00EC3E51">
              <w:rPr>
                <w:b w:val="0"/>
                <w:sz w:val="24"/>
                <w:szCs w:val="24"/>
              </w:rPr>
              <w:t xml:space="preserve"> and </w:t>
            </w:r>
            <w:r>
              <w:rPr>
                <w:b w:val="0"/>
                <w:sz w:val="24"/>
                <w:szCs w:val="24"/>
              </w:rPr>
              <w:t>DPP-4i</w:t>
            </w:r>
            <w:r w:rsidRPr="00EC3E51">
              <w:rPr>
                <w:b w:val="0"/>
                <w:sz w:val="24"/>
                <w:szCs w:val="24"/>
              </w:rPr>
              <w:t>, SU</w:t>
            </w:r>
            <w:r>
              <w:rPr>
                <w:b w:val="0"/>
                <w:sz w:val="24"/>
                <w:szCs w:val="24"/>
              </w:rPr>
              <w:t>, GLP-1 RA</w:t>
            </w:r>
            <w:r w:rsidRPr="00EC3E51">
              <w:rPr>
                <w:b w:val="0"/>
                <w:sz w:val="24"/>
                <w:szCs w:val="24"/>
              </w:rPr>
              <w:t xml:space="preserve"> and </w:t>
            </w:r>
            <w:r w:rsidRPr="00AA382C">
              <w:rPr>
                <w:b w:val="0"/>
                <w:sz w:val="24"/>
                <w:szCs w:val="24"/>
              </w:rPr>
              <w:t>other standard of care treatments</w:t>
            </w:r>
            <w:r>
              <w:rPr>
                <w:b w:val="0"/>
                <w:sz w:val="24"/>
                <w:szCs w:val="24"/>
              </w:rPr>
              <w:t xml:space="preserve"> and the group of matched comparators</w:t>
            </w:r>
            <w:r w:rsidRPr="00EC3E51">
              <w:rPr>
                <w:b w:val="0"/>
                <w:sz w:val="24"/>
                <w:szCs w:val="24"/>
              </w:rPr>
              <w:t xml:space="preserve"> respectively)</w:t>
            </w:r>
            <w:r>
              <w:rPr>
                <w:b w:val="0"/>
                <w:sz w:val="24"/>
                <w:szCs w:val="24"/>
              </w:rPr>
              <w:t xml:space="preserve"> </w:t>
            </w:r>
            <w:r w:rsidRPr="00EC3E51">
              <w:rPr>
                <w:b w:val="0"/>
                <w:sz w:val="24"/>
                <w:szCs w:val="24"/>
              </w:rPr>
              <w:t>and evaluate the possibilities for matching comparators</w:t>
            </w:r>
            <w:r>
              <w:rPr>
                <w:b w:val="0"/>
                <w:sz w:val="24"/>
                <w:szCs w:val="24"/>
              </w:rPr>
              <w:t>.</w:t>
            </w:r>
          </w:p>
        </w:tc>
        <w:tc>
          <w:tcPr>
            <w:tcW w:w="1580" w:type="pct"/>
            <w:tcBorders>
              <w:left w:val="single" w:sz="12" w:space="0" w:color="auto"/>
            </w:tcBorders>
          </w:tcPr>
          <w:p w:rsidR="006D75A3" w:rsidRPr="00490134" w:rsidRDefault="006D75A3" w:rsidP="00732889">
            <w:pPr>
              <w:pStyle w:val="A-TableText"/>
              <w:rPr>
                <w:sz w:val="24"/>
                <w:szCs w:val="24"/>
              </w:rPr>
            </w:pPr>
            <w:r w:rsidRPr="00490134">
              <w:rPr>
                <w:sz w:val="24"/>
                <w:szCs w:val="24"/>
              </w:rPr>
              <w:t>Propensity scores</w:t>
            </w:r>
          </w:p>
        </w:tc>
      </w:tr>
      <w:tr w:rsidR="006D75A3" w:rsidTr="00732889">
        <w:trPr>
          <w:cantSplit/>
        </w:trPr>
        <w:tc>
          <w:tcPr>
            <w:tcW w:w="653" w:type="pct"/>
          </w:tcPr>
          <w:p w:rsidR="006D75A3" w:rsidRPr="00490134" w:rsidRDefault="006D75A3" w:rsidP="00732889">
            <w:pPr>
              <w:pStyle w:val="A-TableText"/>
              <w:rPr>
                <w:sz w:val="20"/>
              </w:rPr>
            </w:pPr>
            <w:r>
              <w:rPr>
                <w:sz w:val="20"/>
              </w:rPr>
              <w:lastRenderedPageBreak/>
              <w:t>Primary</w:t>
            </w:r>
          </w:p>
        </w:tc>
        <w:tc>
          <w:tcPr>
            <w:tcW w:w="1118" w:type="pct"/>
            <w:tcBorders>
              <w:bottom w:val="single" w:sz="4" w:space="0" w:color="auto"/>
            </w:tcBorders>
          </w:tcPr>
          <w:p w:rsidR="006D75A3" w:rsidRDefault="006D75A3" w:rsidP="00732889">
            <w:pPr>
              <w:pStyle w:val="A-TableText"/>
              <w:jc w:val="center"/>
              <w:rPr>
                <w:sz w:val="20"/>
              </w:rPr>
            </w:pPr>
            <w:r>
              <w:rPr>
                <w:sz w:val="20"/>
              </w:rPr>
              <w:t>Comparative</w:t>
            </w:r>
          </w:p>
        </w:tc>
        <w:tc>
          <w:tcPr>
            <w:tcW w:w="1649" w:type="pct"/>
            <w:tcBorders>
              <w:bottom w:val="single" w:sz="4" w:space="0" w:color="auto"/>
              <w:right w:val="single" w:sz="12" w:space="0" w:color="auto"/>
            </w:tcBorders>
          </w:tcPr>
          <w:p w:rsidR="006D75A3" w:rsidRPr="00490134" w:rsidRDefault="006D75A3" w:rsidP="00732889">
            <w:pPr>
              <w:pStyle w:val="A-TableText"/>
              <w:rPr>
                <w:bCs/>
                <w:sz w:val="20"/>
              </w:rPr>
            </w:pPr>
            <w:r w:rsidRPr="00490134">
              <w:rPr>
                <w:bCs/>
                <w:sz w:val="24"/>
                <w:szCs w:val="24"/>
                <w:lang w:val="en-US"/>
              </w:rPr>
              <w:t>To compare the risk for hospitalization for specific CV events (including heart failure) and mortality, both all-cause mortality and CV related mortality between patients with T2DM treated with SGLT-2 inhibitors as a class or a specific SGLT-2</w:t>
            </w:r>
            <w:r>
              <w:rPr>
                <w:bCs/>
                <w:sz w:val="24"/>
                <w:szCs w:val="24"/>
                <w:lang w:val="en-US"/>
              </w:rPr>
              <w:t>i</w:t>
            </w:r>
            <w:r w:rsidRPr="00490134">
              <w:rPr>
                <w:bCs/>
                <w:sz w:val="24"/>
                <w:szCs w:val="24"/>
                <w:lang w:val="en-US"/>
              </w:rPr>
              <w:t xml:space="preserve"> substance versus an active comparison group.</w:t>
            </w:r>
          </w:p>
        </w:tc>
        <w:tc>
          <w:tcPr>
            <w:tcW w:w="1580" w:type="pct"/>
            <w:tcBorders>
              <w:left w:val="single" w:sz="12" w:space="0" w:color="auto"/>
              <w:bottom w:val="single" w:sz="4" w:space="0" w:color="auto"/>
            </w:tcBorders>
          </w:tcPr>
          <w:p w:rsidR="006D75A3" w:rsidRDefault="006D75A3" w:rsidP="00732889">
            <w:pPr>
              <w:pStyle w:val="A-TableText"/>
              <w:rPr>
                <w:sz w:val="20"/>
              </w:rPr>
            </w:pPr>
            <w:r>
              <w:rPr>
                <w:bCs/>
                <w:sz w:val="24"/>
                <w:szCs w:val="24"/>
                <w:lang w:val="en-US"/>
              </w:rPr>
              <w:t>R</w:t>
            </w:r>
            <w:r w:rsidRPr="00490134">
              <w:rPr>
                <w:bCs/>
                <w:sz w:val="24"/>
                <w:szCs w:val="24"/>
                <w:lang w:val="en-US"/>
              </w:rPr>
              <w:t>isk for hospitalization for specific CV events (including heart failure) and mortality, both all-cause mortality and CV related mortality</w:t>
            </w:r>
          </w:p>
        </w:tc>
      </w:tr>
      <w:tr w:rsidR="006D75A3" w:rsidTr="00732889">
        <w:trPr>
          <w:cantSplit/>
        </w:trPr>
        <w:tc>
          <w:tcPr>
            <w:tcW w:w="653" w:type="pct"/>
          </w:tcPr>
          <w:p w:rsidR="006D75A3" w:rsidRDefault="006D75A3" w:rsidP="00732889">
            <w:pPr>
              <w:pStyle w:val="A-TableText"/>
              <w:rPr>
                <w:sz w:val="20"/>
              </w:rPr>
            </w:pPr>
            <w:r>
              <w:rPr>
                <w:sz w:val="20"/>
              </w:rPr>
              <w:t>Secondary</w:t>
            </w:r>
          </w:p>
        </w:tc>
        <w:tc>
          <w:tcPr>
            <w:tcW w:w="1118" w:type="pct"/>
            <w:tcBorders>
              <w:top w:val="single" w:sz="4" w:space="0" w:color="auto"/>
              <w:bottom w:val="single" w:sz="4" w:space="0" w:color="auto"/>
            </w:tcBorders>
          </w:tcPr>
          <w:p w:rsidR="006D75A3" w:rsidRDefault="006D75A3" w:rsidP="00732889">
            <w:pPr>
              <w:pStyle w:val="A-TableText"/>
              <w:jc w:val="center"/>
              <w:rPr>
                <w:sz w:val="20"/>
              </w:rPr>
            </w:pPr>
            <w:r>
              <w:rPr>
                <w:sz w:val="20"/>
              </w:rPr>
              <w:t>Descriptive</w:t>
            </w:r>
          </w:p>
        </w:tc>
        <w:tc>
          <w:tcPr>
            <w:tcW w:w="1649" w:type="pct"/>
            <w:tcBorders>
              <w:top w:val="single" w:sz="4" w:space="0" w:color="auto"/>
              <w:bottom w:val="single" w:sz="4" w:space="0" w:color="auto"/>
              <w:right w:val="single" w:sz="12" w:space="0" w:color="auto"/>
            </w:tcBorders>
          </w:tcPr>
          <w:p w:rsidR="006D75A3" w:rsidRPr="00583EB0" w:rsidRDefault="006D75A3" w:rsidP="00732889">
            <w:pPr>
              <w:tabs>
                <w:tab w:val="left" w:pos="0"/>
              </w:tabs>
            </w:pPr>
            <w:r w:rsidRPr="00187447">
              <w:t>To describe the proportion of patients switching to another diabetic medication class during follow up and the time from index date to the switch in new users of SGLT-2</w:t>
            </w:r>
            <w:r>
              <w:t>i</w:t>
            </w:r>
            <w:r w:rsidRPr="00187447">
              <w:t xml:space="preserve"> and DPP-4</w:t>
            </w:r>
            <w:r>
              <w:t>i</w:t>
            </w:r>
            <w:r w:rsidRPr="00187447">
              <w:t>, SU, GLP-1</w:t>
            </w:r>
            <w:r>
              <w:t xml:space="preserve"> RA</w:t>
            </w:r>
            <w:r w:rsidRPr="00187447">
              <w:t xml:space="preserve"> and other standard of care treatments as well as matched comparators, respectively. </w:t>
            </w:r>
          </w:p>
        </w:tc>
        <w:tc>
          <w:tcPr>
            <w:tcW w:w="1580" w:type="pct"/>
            <w:tcBorders>
              <w:top w:val="single" w:sz="4" w:space="0" w:color="auto"/>
              <w:left w:val="single" w:sz="12" w:space="0" w:color="auto"/>
              <w:bottom w:val="single" w:sz="4" w:space="0" w:color="auto"/>
            </w:tcBorders>
          </w:tcPr>
          <w:p w:rsidR="006D75A3" w:rsidRDefault="006D75A3" w:rsidP="00732889">
            <w:pPr>
              <w:pStyle w:val="A-TableText"/>
              <w:rPr>
                <w:bCs/>
                <w:sz w:val="24"/>
                <w:szCs w:val="24"/>
                <w:lang w:val="en-US"/>
              </w:rPr>
            </w:pPr>
            <w:r>
              <w:t>T</w:t>
            </w:r>
            <w:r w:rsidRPr="00187447">
              <w:t>he proportion of patients switching to another diabetic medication class during follow up and the time from index date to the switch</w:t>
            </w:r>
          </w:p>
        </w:tc>
      </w:tr>
      <w:tr w:rsidR="006D75A3" w:rsidTr="00732889">
        <w:trPr>
          <w:cantSplit/>
        </w:trPr>
        <w:tc>
          <w:tcPr>
            <w:tcW w:w="653" w:type="pct"/>
          </w:tcPr>
          <w:p w:rsidR="006D75A3" w:rsidRDefault="006D75A3" w:rsidP="00732889">
            <w:pPr>
              <w:pStyle w:val="A-TableText"/>
              <w:rPr>
                <w:sz w:val="20"/>
              </w:rPr>
            </w:pPr>
            <w:r>
              <w:rPr>
                <w:sz w:val="20"/>
              </w:rPr>
              <w:t>Secondary</w:t>
            </w:r>
          </w:p>
        </w:tc>
        <w:tc>
          <w:tcPr>
            <w:tcW w:w="1118" w:type="pct"/>
            <w:tcBorders>
              <w:top w:val="single" w:sz="4" w:space="0" w:color="auto"/>
              <w:bottom w:val="single" w:sz="4" w:space="0" w:color="auto"/>
            </w:tcBorders>
          </w:tcPr>
          <w:p w:rsidR="006D75A3" w:rsidRDefault="006D75A3" w:rsidP="00732889">
            <w:pPr>
              <w:pStyle w:val="A-TableText"/>
              <w:jc w:val="center"/>
              <w:rPr>
                <w:sz w:val="20"/>
              </w:rPr>
            </w:pPr>
            <w:r>
              <w:rPr>
                <w:sz w:val="20"/>
              </w:rPr>
              <w:t>Descriptive</w:t>
            </w:r>
          </w:p>
        </w:tc>
        <w:tc>
          <w:tcPr>
            <w:tcW w:w="1649" w:type="pct"/>
            <w:tcBorders>
              <w:top w:val="single" w:sz="4" w:space="0" w:color="auto"/>
              <w:bottom w:val="single" w:sz="4" w:space="0" w:color="auto"/>
              <w:right w:val="single" w:sz="12" w:space="0" w:color="auto"/>
            </w:tcBorders>
          </w:tcPr>
          <w:p w:rsidR="006D75A3" w:rsidRPr="00490134" w:rsidRDefault="006D75A3" w:rsidP="00732889">
            <w:pPr>
              <w:pStyle w:val="A-TableText"/>
              <w:rPr>
                <w:bCs/>
                <w:sz w:val="24"/>
                <w:szCs w:val="24"/>
                <w:lang w:val="en-US"/>
              </w:rPr>
            </w:pPr>
            <w:r w:rsidRPr="00187447">
              <w:rPr>
                <w:szCs w:val="24"/>
              </w:rPr>
              <w:t>To describe the characteristics of patients with T2DM initiating use of SGLT-2</w:t>
            </w:r>
            <w:r>
              <w:rPr>
                <w:szCs w:val="24"/>
              </w:rPr>
              <w:t>i</w:t>
            </w:r>
            <w:r w:rsidRPr="00187447">
              <w:rPr>
                <w:szCs w:val="24"/>
              </w:rPr>
              <w:t xml:space="preserve"> and DPP-4</w:t>
            </w:r>
            <w:r>
              <w:rPr>
                <w:szCs w:val="24"/>
              </w:rPr>
              <w:t>i</w:t>
            </w:r>
            <w:r w:rsidRPr="00187447">
              <w:rPr>
                <w:szCs w:val="24"/>
              </w:rPr>
              <w:t>, SU, GLP-1</w:t>
            </w:r>
            <w:r>
              <w:rPr>
                <w:szCs w:val="24"/>
              </w:rPr>
              <w:t xml:space="preserve"> RA</w:t>
            </w:r>
            <w:r w:rsidRPr="00187447">
              <w:rPr>
                <w:szCs w:val="24"/>
              </w:rPr>
              <w:t xml:space="preserve"> and other standard of care treatments as well as a group of matched comparators, </w:t>
            </w:r>
            <w:r w:rsidRPr="00187447">
              <w:t>for patients with concomitant use of metformin</w:t>
            </w:r>
            <w:r w:rsidRPr="00187447">
              <w:rPr>
                <w:szCs w:val="24"/>
              </w:rPr>
              <w:t xml:space="preserve"> to identify baseline variables that are different between the treatment groups</w:t>
            </w:r>
          </w:p>
        </w:tc>
        <w:tc>
          <w:tcPr>
            <w:tcW w:w="1580" w:type="pct"/>
            <w:tcBorders>
              <w:top w:val="single" w:sz="4" w:space="0" w:color="auto"/>
              <w:left w:val="single" w:sz="12" w:space="0" w:color="auto"/>
              <w:bottom w:val="single" w:sz="4" w:space="0" w:color="auto"/>
            </w:tcBorders>
          </w:tcPr>
          <w:p w:rsidR="006D75A3" w:rsidRDefault="006D75A3" w:rsidP="00732889">
            <w:pPr>
              <w:pStyle w:val="A-TableText"/>
              <w:rPr>
                <w:bCs/>
                <w:sz w:val="24"/>
                <w:szCs w:val="24"/>
                <w:lang w:val="en-US"/>
              </w:rPr>
            </w:pPr>
            <w:r>
              <w:rPr>
                <w:szCs w:val="24"/>
              </w:rPr>
              <w:t>P</w:t>
            </w:r>
            <w:r w:rsidRPr="00187447">
              <w:rPr>
                <w:szCs w:val="24"/>
              </w:rPr>
              <w:t>atient</w:t>
            </w:r>
            <w:r>
              <w:rPr>
                <w:szCs w:val="24"/>
              </w:rPr>
              <w:t xml:space="preserve"> characteristics for those with</w:t>
            </w:r>
            <w:r w:rsidRPr="00187447">
              <w:rPr>
                <w:szCs w:val="24"/>
              </w:rPr>
              <w:t xml:space="preserve"> T2DM initiating use of SGLT-2</w:t>
            </w:r>
            <w:r>
              <w:rPr>
                <w:szCs w:val="24"/>
              </w:rPr>
              <w:t>i</w:t>
            </w:r>
            <w:r w:rsidRPr="00187447">
              <w:rPr>
                <w:szCs w:val="24"/>
              </w:rPr>
              <w:t xml:space="preserve"> and DPP-4</w:t>
            </w:r>
            <w:r>
              <w:rPr>
                <w:szCs w:val="24"/>
              </w:rPr>
              <w:t>i</w:t>
            </w:r>
            <w:r w:rsidRPr="00187447">
              <w:rPr>
                <w:szCs w:val="24"/>
              </w:rPr>
              <w:t>, SU, GLP-1</w:t>
            </w:r>
            <w:r>
              <w:rPr>
                <w:szCs w:val="24"/>
              </w:rPr>
              <w:t xml:space="preserve"> RA</w:t>
            </w:r>
            <w:r w:rsidRPr="00187447">
              <w:rPr>
                <w:szCs w:val="24"/>
              </w:rPr>
              <w:t xml:space="preserve"> and other standard of care treatments as well as a group of matched comparators</w:t>
            </w:r>
          </w:p>
        </w:tc>
      </w:tr>
      <w:tr w:rsidR="006D75A3" w:rsidTr="00732889">
        <w:trPr>
          <w:cantSplit/>
        </w:trPr>
        <w:tc>
          <w:tcPr>
            <w:tcW w:w="653" w:type="pct"/>
          </w:tcPr>
          <w:p w:rsidR="006D75A3" w:rsidRDefault="006D75A3" w:rsidP="00732889">
            <w:pPr>
              <w:pStyle w:val="A-TableText"/>
              <w:rPr>
                <w:sz w:val="20"/>
              </w:rPr>
            </w:pPr>
            <w:r>
              <w:rPr>
                <w:sz w:val="20"/>
              </w:rPr>
              <w:lastRenderedPageBreak/>
              <w:t>Secondary</w:t>
            </w:r>
          </w:p>
        </w:tc>
        <w:tc>
          <w:tcPr>
            <w:tcW w:w="1118" w:type="pct"/>
            <w:tcBorders>
              <w:top w:val="single" w:sz="4" w:space="0" w:color="auto"/>
              <w:bottom w:val="single" w:sz="4" w:space="0" w:color="auto"/>
            </w:tcBorders>
          </w:tcPr>
          <w:p w:rsidR="006D75A3" w:rsidRDefault="006D75A3" w:rsidP="00732889">
            <w:pPr>
              <w:pStyle w:val="A-TableText"/>
              <w:jc w:val="center"/>
              <w:rPr>
                <w:sz w:val="20"/>
              </w:rPr>
            </w:pPr>
            <w:r>
              <w:rPr>
                <w:sz w:val="20"/>
              </w:rPr>
              <w:t>Descriptive</w:t>
            </w:r>
          </w:p>
        </w:tc>
        <w:tc>
          <w:tcPr>
            <w:tcW w:w="1649" w:type="pct"/>
            <w:tcBorders>
              <w:top w:val="single" w:sz="4" w:space="0" w:color="auto"/>
              <w:bottom w:val="single" w:sz="4" w:space="0" w:color="auto"/>
              <w:right w:val="single" w:sz="12" w:space="0" w:color="auto"/>
            </w:tcBorders>
          </w:tcPr>
          <w:p w:rsidR="006D75A3" w:rsidRPr="00583EB0" w:rsidRDefault="006D75A3" w:rsidP="00732889">
            <w:pPr>
              <w:pStyle w:val="A-StudyTitle"/>
              <w:tabs>
                <w:tab w:val="left" w:pos="284"/>
              </w:tabs>
              <w:rPr>
                <w:b w:val="0"/>
                <w:sz w:val="24"/>
                <w:szCs w:val="24"/>
              </w:rPr>
            </w:pPr>
            <w:r w:rsidRPr="00187447">
              <w:rPr>
                <w:b w:val="0"/>
                <w:sz w:val="24"/>
                <w:szCs w:val="24"/>
              </w:rPr>
              <w:t>To calculate the propensity scores for the groups (new users of SGLT-2</w:t>
            </w:r>
            <w:r>
              <w:rPr>
                <w:b w:val="0"/>
                <w:sz w:val="24"/>
                <w:szCs w:val="24"/>
              </w:rPr>
              <w:t>i</w:t>
            </w:r>
            <w:r w:rsidRPr="00187447">
              <w:rPr>
                <w:b w:val="0"/>
                <w:sz w:val="24"/>
                <w:szCs w:val="24"/>
              </w:rPr>
              <w:t xml:space="preserve"> and DPP-4</w:t>
            </w:r>
            <w:r>
              <w:rPr>
                <w:b w:val="0"/>
                <w:sz w:val="24"/>
                <w:szCs w:val="24"/>
              </w:rPr>
              <w:t>i</w:t>
            </w:r>
            <w:r w:rsidRPr="00187447">
              <w:rPr>
                <w:b w:val="0"/>
                <w:sz w:val="24"/>
                <w:szCs w:val="24"/>
              </w:rPr>
              <w:t>, SU, GLP-1</w:t>
            </w:r>
            <w:r>
              <w:rPr>
                <w:b w:val="0"/>
                <w:sz w:val="24"/>
                <w:szCs w:val="24"/>
              </w:rPr>
              <w:t xml:space="preserve"> RA</w:t>
            </w:r>
            <w:r w:rsidRPr="00187447">
              <w:rPr>
                <w:b w:val="0"/>
                <w:sz w:val="24"/>
                <w:szCs w:val="24"/>
              </w:rPr>
              <w:t xml:space="preserve"> and other standard of care treatments and the group of matched comparators respectively) with concomitant use of metformin and evaluate the possibilities for matching comparators</w:t>
            </w:r>
          </w:p>
        </w:tc>
        <w:tc>
          <w:tcPr>
            <w:tcW w:w="1580" w:type="pct"/>
            <w:tcBorders>
              <w:top w:val="single" w:sz="4" w:space="0" w:color="auto"/>
              <w:left w:val="single" w:sz="12" w:space="0" w:color="auto"/>
              <w:bottom w:val="single" w:sz="4" w:space="0" w:color="auto"/>
            </w:tcBorders>
          </w:tcPr>
          <w:p w:rsidR="006D75A3" w:rsidRPr="006E3D67" w:rsidRDefault="006D75A3" w:rsidP="00732889">
            <w:pPr>
              <w:pStyle w:val="A-TableText"/>
              <w:rPr>
                <w:sz w:val="24"/>
                <w:szCs w:val="24"/>
                <w:lang w:val="en-US"/>
              </w:rPr>
            </w:pPr>
            <w:r>
              <w:rPr>
                <w:sz w:val="24"/>
                <w:szCs w:val="24"/>
              </w:rPr>
              <w:t>P</w:t>
            </w:r>
            <w:r w:rsidRPr="006E3D67">
              <w:rPr>
                <w:sz w:val="24"/>
                <w:szCs w:val="24"/>
              </w:rPr>
              <w:t>ropensity scores for the groups (new users of SGLT-2</w:t>
            </w:r>
            <w:r>
              <w:rPr>
                <w:sz w:val="24"/>
                <w:szCs w:val="24"/>
              </w:rPr>
              <w:t>i</w:t>
            </w:r>
            <w:r w:rsidRPr="006E3D67">
              <w:rPr>
                <w:sz w:val="24"/>
                <w:szCs w:val="24"/>
              </w:rPr>
              <w:t xml:space="preserve"> and DPP-4</w:t>
            </w:r>
            <w:r>
              <w:rPr>
                <w:sz w:val="24"/>
                <w:szCs w:val="24"/>
              </w:rPr>
              <w:t>i</w:t>
            </w:r>
            <w:r w:rsidRPr="006E3D67">
              <w:rPr>
                <w:sz w:val="24"/>
                <w:szCs w:val="24"/>
              </w:rPr>
              <w:t>, SU, GLP-1</w:t>
            </w:r>
            <w:r>
              <w:rPr>
                <w:sz w:val="24"/>
                <w:szCs w:val="24"/>
              </w:rPr>
              <w:t xml:space="preserve"> RA</w:t>
            </w:r>
            <w:r w:rsidRPr="006E3D67">
              <w:rPr>
                <w:sz w:val="24"/>
                <w:szCs w:val="24"/>
              </w:rPr>
              <w:t xml:space="preserve"> and other standard of care treatments and the group of matched comparators respectively)</w:t>
            </w:r>
          </w:p>
        </w:tc>
      </w:tr>
      <w:tr w:rsidR="006D75A3" w:rsidTr="00732889">
        <w:trPr>
          <w:cantSplit/>
        </w:trPr>
        <w:tc>
          <w:tcPr>
            <w:tcW w:w="653" w:type="pct"/>
          </w:tcPr>
          <w:p w:rsidR="006D75A3" w:rsidRDefault="006D75A3" w:rsidP="00732889">
            <w:pPr>
              <w:pStyle w:val="A-TableText"/>
              <w:rPr>
                <w:sz w:val="20"/>
              </w:rPr>
            </w:pPr>
            <w:r>
              <w:rPr>
                <w:sz w:val="20"/>
              </w:rPr>
              <w:t>Exploratory</w:t>
            </w:r>
          </w:p>
        </w:tc>
        <w:tc>
          <w:tcPr>
            <w:tcW w:w="1118" w:type="pct"/>
            <w:tcBorders>
              <w:top w:val="single" w:sz="4" w:space="0" w:color="auto"/>
              <w:bottom w:val="single" w:sz="4" w:space="0" w:color="auto"/>
            </w:tcBorders>
          </w:tcPr>
          <w:p w:rsidR="006D75A3" w:rsidRDefault="006D75A3" w:rsidP="00732889">
            <w:pPr>
              <w:pStyle w:val="A-TableText"/>
              <w:jc w:val="center"/>
              <w:rPr>
                <w:sz w:val="20"/>
              </w:rPr>
            </w:pPr>
            <w:r>
              <w:rPr>
                <w:sz w:val="20"/>
              </w:rPr>
              <w:t>Descriptive</w:t>
            </w:r>
          </w:p>
        </w:tc>
        <w:tc>
          <w:tcPr>
            <w:tcW w:w="1649" w:type="pct"/>
            <w:tcBorders>
              <w:top w:val="single" w:sz="4" w:space="0" w:color="auto"/>
              <w:bottom w:val="single" w:sz="4" w:space="0" w:color="auto"/>
              <w:right w:val="single" w:sz="12" w:space="0" w:color="auto"/>
            </w:tcBorders>
          </w:tcPr>
          <w:p w:rsidR="006D75A3" w:rsidRPr="00583EB0" w:rsidRDefault="006D75A3" w:rsidP="00732889">
            <w:pPr>
              <w:pStyle w:val="ListParagraph"/>
              <w:tabs>
                <w:tab w:val="left" w:pos="284"/>
              </w:tabs>
              <w:ind w:left="0"/>
            </w:pPr>
            <w:r>
              <w:t>To describe subpopulation by incremental CV risk profiles (comorbidities) at baseline and their evolution over the follow-up period</w:t>
            </w:r>
          </w:p>
        </w:tc>
        <w:tc>
          <w:tcPr>
            <w:tcW w:w="1580" w:type="pct"/>
            <w:tcBorders>
              <w:top w:val="single" w:sz="4" w:space="0" w:color="auto"/>
              <w:left w:val="single" w:sz="12" w:space="0" w:color="auto"/>
              <w:bottom w:val="single" w:sz="4" w:space="0" w:color="auto"/>
            </w:tcBorders>
          </w:tcPr>
          <w:p w:rsidR="006D75A3" w:rsidRDefault="006D75A3" w:rsidP="00732889">
            <w:pPr>
              <w:pStyle w:val="A-TableText"/>
              <w:rPr>
                <w:bCs/>
                <w:sz w:val="24"/>
                <w:szCs w:val="24"/>
                <w:lang w:val="en-US"/>
              </w:rPr>
            </w:pPr>
            <w:r>
              <w:rPr>
                <w:bCs/>
                <w:sz w:val="24"/>
                <w:szCs w:val="24"/>
                <w:lang w:val="en-US"/>
              </w:rPr>
              <w:t>Baseline CV comorbidities and over the follow-up period</w:t>
            </w:r>
          </w:p>
        </w:tc>
      </w:tr>
      <w:tr w:rsidR="006D75A3" w:rsidTr="00732889">
        <w:trPr>
          <w:cantSplit/>
        </w:trPr>
        <w:tc>
          <w:tcPr>
            <w:tcW w:w="653" w:type="pct"/>
            <w:tcBorders>
              <w:bottom w:val="single" w:sz="12" w:space="0" w:color="auto"/>
            </w:tcBorders>
          </w:tcPr>
          <w:p w:rsidR="006D75A3" w:rsidRDefault="006D75A3" w:rsidP="00732889">
            <w:pPr>
              <w:pStyle w:val="A-TableText"/>
              <w:rPr>
                <w:sz w:val="20"/>
              </w:rPr>
            </w:pPr>
            <w:r>
              <w:rPr>
                <w:sz w:val="20"/>
              </w:rPr>
              <w:t>Exploratory</w:t>
            </w:r>
          </w:p>
        </w:tc>
        <w:tc>
          <w:tcPr>
            <w:tcW w:w="1118" w:type="pct"/>
            <w:tcBorders>
              <w:top w:val="single" w:sz="4" w:space="0" w:color="auto"/>
              <w:bottom w:val="single" w:sz="12" w:space="0" w:color="auto"/>
            </w:tcBorders>
          </w:tcPr>
          <w:p w:rsidR="006D75A3" w:rsidRDefault="006D75A3" w:rsidP="00732889">
            <w:pPr>
              <w:pStyle w:val="A-TableText"/>
              <w:jc w:val="center"/>
              <w:rPr>
                <w:sz w:val="20"/>
              </w:rPr>
            </w:pPr>
            <w:r>
              <w:rPr>
                <w:sz w:val="20"/>
              </w:rPr>
              <w:t>Descriptive</w:t>
            </w:r>
          </w:p>
        </w:tc>
        <w:tc>
          <w:tcPr>
            <w:tcW w:w="1649" w:type="pct"/>
            <w:tcBorders>
              <w:top w:val="single" w:sz="4" w:space="0" w:color="auto"/>
              <w:bottom w:val="single" w:sz="12" w:space="0" w:color="auto"/>
              <w:right w:val="single" w:sz="12" w:space="0" w:color="auto"/>
            </w:tcBorders>
          </w:tcPr>
          <w:p w:rsidR="006D75A3" w:rsidRPr="009E6169" w:rsidRDefault="006D75A3" w:rsidP="00732889">
            <w:pPr>
              <w:pStyle w:val="ListParagraph"/>
              <w:tabs>
                <w:tab w:val="left" w:pos="284"/>
              </w:tabs>
              <w:ind w:left="0"/>
            </w:pPr>
            <w:r>
              <w:t>To describe over the follow up period any addition or change in the treatments, including within class changes,  and rate of different combinations use</w:t>
            </w:r>
          </w:p>
        </w:tc>
        <w:tc>
          <w:tcPr>
            <w:tcW w:w="1580" w:type="pct"/>
            <w:tcBorders>
              <w:top w:val="single" w:sz="4" w:space="0" w:color="auto"/>
              <w:left w:val="single" w:sz="12" w:space="0" w:color="auto"/>
              <w:bottom w:val="single" w:sz="12" w:space="0" w:color="auto"/>
            </w:tcBorders>
          </w:tcPr>
          <w:p w:rsidR="006D75A3" w:rsidRDefault="006D75A3" w:rsidP="00732889">
            <w:pPr>
              <w:pStyle w:val="A-TableText"/>
              <w:rPr>
                <w:bCs/>
                <w:sz w:val="24"/>
                <w:szCs w:val="24"/>
                <w:lang w:val="en-US"/>
              </w:rPr>
            </w:pPr>
            <w:r>
              <w:rPr>
                <w:bCs/>
                <w:sz w:val="24"/>
                <w:szCs w:val="24"/>
                <w:lang w:val="en-US"/>
              </w:rPr>
              <w:t>Addition and changes in treatments over the follow-up period</w:t>
            </w:r>
          </w:p>
        </w:tc>
      </w:tr>
    </w:tbl>
    <w:p w:rsidR="006D75A3" w:rsidRDefault="006D75A3" w:rsidP="006D75A3"/>
    <w:p w:rsidR="006D75A3" w:rsidRDefault="006D75A3" w:rsidP="006D75A3">
      <w:pPr>
        <w:pStyle w:val="A-Unassigned"/>
        <w:keepLines/>
        <w:outlineLvl w:val="0"/>
      </w:pPr>
      <w:r>
        <w:t>Study design</w:t>
      </w:r>
    </w:p>
    <w:p w:rsidR="006D75A3" w:rsidRDefault="006D75A3" w:rsidP="006D75A3">
      <w:pPr>
        <w:spacing w:after="0"/>
      </w:pPr>
      <w:r>
        <w:t xml:space="preserve">This was a cohort study of patients with T2DM who are new users of SGLT-2 </w:t>
      </w:r>
      <w:r w:rsidRPr="00A31EEC">
        <w:t xml:space="preserve">inhibitors and </w:t>
      </w:r>
      <w:r>
        <w:t>DPP-4i</w:t>
      </w:r>
      <w:r w:rsidRPr="00A31EEC">
        <w:t>, SU</w:t>
      </w:r>
      <w:r>
        <w:t>, GLP-1RA</w:t>
      </w:r>
      <w:r w:rsidRPr="00A31EEC">
        <w:t xml:space="preserve"> and </w:t>
      </w:r>
      <w:r>
        <w:t>other standard of care treatments, respectively, in Sweden, United Kingdom and United States</w:t>
      </w:r>
      <w:r w:rsidRPr="00A31EEC">
        <w:t>.</w:t>
      </w:r>
      <w:r>
        <w:t xml:space="preserve"> In addition a group consisting of new users of different diabetic medications matched by index day and baseline characteristics were  included. </w:t>
      </w:r>
    </w:p>
    <w:p w:rsidR="006D75A3" w:rsidRDefault="006D75A3" w:rsidP="006D75A3">
      <w:pPr>
        <w:spacing w:after="0"/>
      </w:pPr>
      <w:r w:rsidRPr="00A31EEC">
        <w:t>The study period range</w:t>
      </w:r>
      <w:r>
        <w:t>d</w:t>
      </w:r>
      <w:r w:rsidRPr="00A31EEC">
        <w:t xml:space="preserve"> from launch of </w:t>
      </w:r>
      <w:r>
        <w:t>the first SGLT-2i</w:t>
      </w:r>
      <w:r w:rsidRPr="00A31EEC">
        <w:t xml:space="preserve"> in each of the countries (</w:t>
      </w:r>
      <w:r>
        <w:t>November 2012 for Nordics and UK, March 2013 for US</w:t>
      </w:r>
      <w:r w:rsidRPr="00A31EEC">
        <w:t>) and end at latest available data in each data source</w:t>
      </w:r>
      <w:r>
        <w:t xml:space="preserve"> (during 2015 for UK and US databases and 2014 for Sweden)</w:t>
      </w:r>
      <w:r w:rsidRPr="00A31EEC">
        <w:t xml:space="preserve">. </w:t>
      </w:r>
      <w:r w:rsidRPr="009E62CF">
        <w:rPr>
          <w:color w:val="000000"/>
          <w:szCs w:val="24"/>
          <w:shd w:val="clear" w:color="auto" w:fill="FFFFFF"/>
        </w:rPr>
        <w:t>Dapagliflozin was the first SGLT-2</w:t>
      </w:r>
      <w:r>
        <w:rPr>
          <w:color w:val="000000"/>
          <w:szCs w:val="24"/>
          <w:shd w:val="clear" w:color="auto" w:fill="FFFFFF"/>
        </w:rPr>
        <w:t>i</w:t>
      </w:r>
      <w:r w:rsidRPr="009E62CF">
        <w:rPr>
          <w:color w:val="000000"/>
          <w:szCs w:val="24"/>
          <w:shd w:val="clear" w:color="auto" w:fill="FFFFFF"/>
        </w:rPr>
        <w:t xml:space="preserve"> granted marketing approval by the European Commission (EC) for the treatment of T2DM in Europe in November 2012. The US Food and Drug Administration (FDA) approved canagliflozin as the first SGLT-2</w:t>
      </w:r>
      <w:r>
        <w:rPr>
          <w:color w:val="000000"/>
          <w:szCs w:val="24"/>
          <w:shd w:val="clear" w:color="auto" w:fill="FFFFFF"/>
        </w:rPr>
        <w:t>i</w:t>
      </w:r>
      <w:r w:rsidRPr="009E62CF">
        <w:rPr>
          <w:color w:val="000000"/>
          <w:szCs w:val="24"/>
          <w:shd w:val="clear" w:color="auto" w:fill="FFFFFF"/>
        </w:rPr>
        <w:t xml:space="preserve"> for treatment of T2DM in March 2013, followed by dapagliflozin in January 2014 and empagliflozin in August 2014.</w:t>
      </w:r>
      <w:r>
        <w:t xml:space="preserve"> </w:t>
      </w:r>
    </w:p>
    <w:p w:rsidR="006D75A3" w:rsidRDefault="006D75A3" w:rsidP="006D75A3">
      <w:pPr>
        <w:spacing w:after="0"/>
      </w:pPr>
    </w:p>
    <w:p w:rsidR="006D75A3" w:rsidRDefault="006D75A3" w:rsidP="006D75A3">
      <w:pPr>
        <w:spacing w:after="0"/>
      </w:pPr>
      <w:r>
        <w:t>A new user of SGLT-2i, DPP-4i, SU or GLP-1 RA is defined as an individual receiving a prescription or filling a prescription of the mentioned diabetes medication classes with no issued/dispensed prescriptions of that medicine class during the preceding year. New users of the mixed group of other standard</w:t>
      </w:r>
      <w:r w:rsidRPr="00B72FEB">
        <w:t xml:space="preserve"> of care treatments</w:t>
      </w:r>
      <w:r>
        <w:t xml:space="preserve"> as well as mixed group of matched </w:t>
      </w:r>
      <w:r>
        <w:lastRenderedPageBreak/>
        <w:t xml:space="preserve">comparators were defined as those receiving a prescription or filling a prescription of a specific drug with no issued/dispensed prescriptions of that drug during the preceding year. Those initiating metformin monotherapy use were not included in these groups. </w:t>
      </w:r>
    </w:p>
    <w:p w:rsidR="006D75A3" w:rsidRDefault="006D75A3" w:rsidP="006D75A3">
      <w:pPr>
        <w:spacing w:after="0"/>
      </w:pPr>
    </w:p>
    <w:p w:rsidR="006D75A3" w:rsidRDefault="006D75A3" w:rsidP="006D75A3">
      <w:pPr>
        <w:spacing w:after="0"/>
      </w:pPr>
      <w:r>
        <w:t xml:space="preserve">The date of the first issued /filled prescription of the investigated medication classes (index medication group) during the study period was  denoted the index date. Patients were  followed from index date (inclusive) to the earliest of end of use of the index medication group, migration/leaving the practice/leaving the database, last date of data collection, death date or date of outcome. The availability of some of this information differs between databases and a definition for each database will be described. </w:t>
      </w:r>
    </w:p>
    <w:p w:rsidR="006D75A3" w:rsidRDefault="006D75A3" w:rsidP="006D75A3">
      <w:pPr>
        <w:spacing w:after="0"/>
      </w:pPr>
    </w:p>
    <w:p w:rsidR="006D75A3" w:rsidRDefault="006D75A3" w:rsidP="006D75A3">
      <w:pPr>
        <w:spacing w:after="0"/>
      </w:pPr>
      <w:r>
        <w:t xml:space="preserve">Baseline characteristics including demographic and clinical characteristics were  captured for patients in the year before the index date. Insulin use before index date was assessed during three months preceding the index date. </w:t>
      </w:r>
    </w:p>
    <w:p w:rsidR="006D75A3" w:rsidRDefault="006D75A3" w:rsidP="006D75A3">
      <w:pPr>
        <w:pStyle w:val="A-Unassigned"/>
        <w:outlineLvl w:val="0"/>
      </w:pPr>
      <w:r>
        <w:t>Target subject population and sample size</w:t>
      </w:r>
    </w:p>
    <w:p w:rsidR="006D75A3" w:rsidRPr="005C2CE8" w:rsidRDefault="006D75A3" w:rsidP="006D75A3">
      <w:pPr>
        <w:rPr>
          <w:szCs w:val="24"/>
          <w:shd w:val="clear" w:color="auto" w:fill="FFFFFF"/>
        </w:rPr>
      </w:pPr>
      <w:r w:rsidRPr="005C2CE8">
        <w:t>New users w</w:t>
      </w:r>
      <w:r>
        <w:t xml:space="preserve">ere </w:t>
      </w:r>
      <w:r w:rsidRPr="005C2CE8">
        <w:t xml:space="preserve">defined as an individual with T2DM either receiving or filling a prescription of a </w:t>
      </w:r>
      <w:r>
        <w:t>SGLT-2i</w:t>
      </w:r>
      <w:r w:rsidRPr="005C2CE8">
        <w:t xml:space="preserve"> or </w:t>
      </w:r>
      <w:r>
        <w:t>DPP-4i</w:t>
      </w:r>
      <w:r w:rsidRPr="005C2CE8">
        <w:t>, SU</w:t>
      </w:r>
      <w:r>
        <w:t>, GLP-1 RA</w:t>
      </w:r>
      <w:r w:rsidRPr="005C2CE8">
        <w:t xml:space="preserve"> and </w:t>
      </w:r>
      <w:r>
        <w:t>other standard of care treatments</w:t>
      </w:r>
      <w:r w:rsidRPr="005C2CE8">
        <w:t xml:space="preserve"> during the study period. Individuals with a previous issued/filled prescription of that medicine class during the preceding year</w:t>
      </w:r>
      <w:r>
        <w:t xml:space="preserve"> (i.e. 365 before the index date)</w:t>
      </w:r>
      <w:r w:rsidRPr="005C2CE8">
        <w:t xml:space="preserve"> </w:t>
      </w:r>
      <w:r>
        <w:t>we</w:t>
      </w:r>
      <w:r w:rsidRPr="005C2CE8">
        <w:t>re not regarded as new users. The date of the first issued /filled prescription of the included medication classes during the study period w</w:t>
      </w:r>
      <w:r>
        <w:t>as</w:t>
      </w:r>
      <w:r w:rsidRPr="005C2CE8">
        <w:t xml:space="preserve"> denoted the index date. </w:t>
      </w:r>
      <w:r>
        <w:t>The group consisting of other standard of care treatments was a mixture  of diabetes medications initiated which was likely to have different compositions in different countries and depending on whether the patient was on oral diabetes medication only or on oral diabetes medication and insulin. This group  included all diabetes medicines, allowing combinations and monotherapy use with the exception of metformin monotherapy and use of SGLT-2i. The class SGLT-2i</w:t>
      </w:r>
      <w:r w:rsidRPr="005C2CE8">
        <w:t xml:space="preserve"> include</w:t>
      </w:r>
      <w:r>
        <w:t>d</w:t>
      </w:r>
      <w:r w:rsidRPr="005C2CE8">
        <w:t xml:space="preserve"> dapagliflozin</w:t>
      </w:r>
      <w:r w:rsidRPr="005C2CE8">
        <w:rPr>
          <w:szCs w:val="24"/>
        </w:rPr>
        <w:t>, c</w:t>
      </w:r>
      <w:r w:rsidRPr="005C2CE8">
        <w:rPr>
          <w:szCs w:val="24"/>
          <w:shd w:val="clear" w:color="auto" w:fill="FFFFFF"/>
        </w:rPr>
        <w:t xml:space="preserve">anagliflozin and empagliflozin. </w:t>
      </w:r>
      <w:r>
        <w:rPr>
          <w:szCs w:val="24"/>
          <w:shd w:val="clear" w:color="auto" w:fill="FFFFFF"/>
        </w:rPr>
        <w:t xml:space="preserve">The group including comparators matched on baseline characteristics was matched on a 1:10 ratio with 10 matched comparators for each SGLT-2i user. These were  matched on age at index date, gender, previous MI, previous stroke, previous heart failure, and use of </w:t>
      </w:r>
      <w:r w:rsidRPr="005C17F0">
        <w:rPr>
          <w:szCs w:val="24"/>
          <w:shd w:val="clear" w:color="auto" w:fill="FFFFFF"/>
          <w:lang w:val="en-US"/>
        </w:rPr>
        <w:t>CV-/glucose lowering drug treatment</w:t>
      </w:r>
      <w:r w:rsidRPr="005C17F0">
        <w:rPr>
          <w:szCs w:val="24"/>
          <w:shd w:val="clear" w:color="auto" w:fill="FFFFFF"/>
        </w:rPr>
        <w:t xml:space="preserve"> (e.g.</w:t>
      </w:r>
      <w:r w:rsidRPr="005C17F0">
        <w:rPr>
          <w:szCs w:val="24"/>
          <w:shd w:val="clear" w:color="auto" w:fill="FFFFFF"/>
          <w:lang w:val="en-US"/>
        </w:rPr>
        <w:t xml:space="preserve">  ACE inhibitors or ARBs, </w:t>
      </w:r>
      <w:r>
        <w:rPr>
          <w:szCs w:val="24"/>
          <w:shd w:val="clear" w:color="auto" w:fill="FFFFFF"/>
          <w:lang w:val="en-US"/>
        </w:rPr>
        <w:t>high ceiling (LOOP) diuretics, diuretics, a</w:t>
      </w:r>
      <w:r w:rsidRPr="005C17F0">
        <w:rPr>
          <w:szCs w:val="24"/>
          <w:shd w:val="clear" w:color="auto" w:fill="FFFFFF"/>
          <w:lang w:val="en-US"/>
        </w:rPr>
        <w:t>ldosteron</w:t>
      </w:r>
      <w:r>
        <w:rPr>
          <w:szCs w:val="24"/>
          <w:shd w:val="clear" w:color="auto" w:fill="FFFFFF"/>
          <w:lang w:val="en-US"/>
        </w:rPr>
        <w:t>e</w:t>
      </w:r>
      <w:r w:rsidRPr="005C17F0">
        <w:rPr>
          <w:szCs w:val="24"/>
          <w:shd w:val="clear" w:color="auto" w:fill="FFFFFF"/>
          <w:lang w:val="en-US"/>
        </w:rPr>
        <w:t xml:space="preserve"> antagonis</w:t>
      </w:r>
      <w:r>
        <w:rPr>
          <w:szCs w:val="24"/>
          <w:shd w:val="clear" w:color="auto" w:fill="FFFFFF"/>
          <w:lang w:val="en-US"/>
        </w:rPr>
        <w:t>ts, beta-blockers, SU, DPP-4i, and GLP-1 agonists</w:t>
      </w:r>
      <w:r w:rsidRPr="005C17F0">
        <w:rPr>
          <w:szCs w:val="24"/>
          <w:shd w:val="clear" w:color="auto" w:fill="FFFFFF"/>
          <w:lang w:val="en-US"/>
        </w:rPr>
        <w:t xml:space="preserve">) </w:t>
      </w:r>
      <w:r>
        <w:rPr>
          <w:szCs w:val="24"/>
          <w:shd w:val="clear" w:color="auto" w:fill="FFFFFF"/>
          <w:lang w:val="en-US"/>
        </w:rPr>
        <w:t xml:space="preserve">before the index date. </w:t>
      </w:r>
      <w:r>
        <w:rPr>
          <w:szCs w:val="24"/>
          <w:shd w:val="clear" w:color="auto" w:fill="FFFFFF"/>
        </w:rPr>
        <w:t xml:space="preserve">In order to assess differences in patient characteristics by those on oral diabetes medication and those with insulin add-on, stratification was done by insulin use at index date described as in the exposure variable section.  </w:t>
      </w:r>
    </w:p>
    <w:p w:rsidR="006D75A3" w:rsidRDefault="006D75A3" w:rsidP="006D75A3">
      <w:pPr>
        <w:rPr>
          <w:szCs w:val="24"/>
          <w:shd w:val="clear" w:color="auto" w:fill="FFFFFF"/>
        </w:rPr>
      </w:pPr>
      <w:r w:rsidRPr="005C2CE8">
        <w:rPr>
          <w:szCs w:val="24"/>
          <w:shd w:val="clear" w:color="auto" w:fill="FFFFFF"/>
        </w:rPr>
        <w:t xml:space="preserve">High baseline CV risk </w:t>
      </w:r>
      <w:r>
        <w:rPr>
          <w:szCs w:val="24"/>
          <w:shd w:val="clear" w:color="auto" w:fill="FFFFFF"/>
        </w:rPr>
        <w:t>wa</w:t>
      </w:r>
      <w:r w:rsidRPr="005C2CE8">
        <w:rPr>
          <w:szCs w:val="24"/>
          <w:shd w:val="clear" w:color="auto" w:fill="FFFFFF"/>
        </w:rPr>
        <w:t xml:space="preserve">s defined as </w:t>
      </w:r>
      <w:r>
        <w:rPr>
          <w:szCs w:val="24"/>
          <w:shd w:val="clear" w:color="auto" w:fill="FFFFFF"/>
        </w:rPr>
        <w:t xml:space="preserve">a diagnosis of </w:t>
      </w:r>
      <w:r w:rsidRPr="00E76D35">
        <w:rPr>
          <w:szCs w:val="24"/>
          <w:shd w:val="clear" w:color="auto" w:fill="FFFFFF"/>
        </w:rPr>
        <w:t>MI, unstable angina, stroke</w:t>
      </w:r>
      <w:r>
        <w:rPr>
          <w:szCs w:val="24"/>
          <w:shd w:val="clear" w:color="auto" w:fill="FFFFFF"/>
        </w:rPr>
        <w:t>,</w:t>
      </w:r>
      <w:r w:rsidRPr="00E76D35">
        <w:rPr>
          <w:szCs w:val="24"/>
          <w:shd w:val="clear" w:color="auto" w:fill="FFFFFF"/>
        </w:rPr>
        <w:t xml:space="preserve"> evidence of multi-vessel coronary artery disease, evidence of single-ve</w:t>
      </w:r>
      <w:r>
        <w:rPr>
          <w:szCs w:val="24"/>
          <w:shd w:val="clear" w:color="auto" w:fill="FFFFFF"/>
        </w:rPr>
        <w:t xml:space="preserve">ssel coronary artery disease, or </w:t>
      </w:r>
      <w:r w:rsidRPr="00E76D35">
        <w:rPr>
          <w:szCs w:val="24"/>
          <w:shd w:val="clear" w:color="auto" w:fill="FFFFFF"/>
        </w:rPr>
        <w:t>occlusive peripheral artery disease</w:t>
      </w:r>
      <w:r>
        <w:rPr>
          <w:szCs w:val="24"/>
          <w:shd w:val="clear" w:color="auto" w:fill="FFFFFF"/>
        </w:rPr>
        <w:t xml:space="preserve"> before the index date.</w:t>
      </w:r>
      <w:r w:rsidRPr="00E76D35">
        <w:rPr>
          <w:szCs w:val="24"/>
          <w:shd w:val="clear" w:color="auto" w:fill="FFFFFF"/>
        </w:rPr>
        <w:t xml:space="preserve"> </w:t>
      </w:r>
      <w:r>
        <w:rPr>
          <w:szCs w:val="24"/>
          <w:shd w:val="clear" w:color="auto" w:fill="FFFFFF"/>
        </w:rPr>
        <w:t xml:space="preserve">Other CV risk factors included obesity, </w:t>
      </w:r>
      <w:proofErr w:type="spellStart"/>
      <w:r>
        <w:rPr>
          <w:szCs w:val="24"/>
          <w:shd w:val="clear" w:color="auto" w:fill="FFFFFF"/>
        </w:rPr>
        <w:t>dyslipidemia</w:t>
      </w:r>
      <w:proofErr w:type="spellEnd"/>
      <w:r>
        <w:rPr>
          <w:szCs w:val="24"/>
          <w:shd w:val="clear" w:color="auto" w:fill="FFFFFF"/>
        </w:rPr>
        <w:t xml:space="preserve">, hypertension, end stage renal disease and low socioeconomic status.   </w:t>
      </w:r>
    </w:p>
    <w:p w:rsidR="006D75A3" w:rsidRDefault="006D75A3" w:rsidP="006D75A3">
      <w:pPr>
        <w:rPr>
          <w:lang w:val="en-US"/>
        </w:rPr>
      </w:pPr>
      <w:r w:rsidRPr="005C2CE8">
        <w:t xml:space="preserve">Since dapagliflozin and </w:t>
      </w:r>
      <w:r>
        <w:t>SGLT-2i</w:t>
      </w:r>
      <w:r w:rsidRPr="005C2CE8">
        <w:t xml:space="preserve"> are relatively </w:t>
      </w:r>
      <w:r>
        <w:t>recently introduced</w:t>
      </w:r>
      <w:r w:rsidRPr="005C2CE8">
        <w:t xml:space="preserve"> the population sizes </w:t>
      </w:r>
      <w:r>
        <w:t>we</w:t>
      </w:r>
      <w:r w:rsidRPr="005C2CE8">
        <w:t>re</w:t>
      </w:r>
      <w:r>
        <w:t xml:space="preserve"> limited. Thus the main assessment of eligibility and comparability was conducted on medication class level to ensure a large enough population. </w:t>
      </w:r>
      <w:r w:rsidRPr="005C2CE8">
        <w:rPr>
          <w:lang w:val="en-US"/>
        </w:rPr>
        <w:t>Current number</w:t>
      </w:r>
      <w:r>
        <w:rPr>
          <w:lang w:val="en-US"/>
        </w:rPr>
        <w:t>s</w:t>
      </w:r>
      <w:r w:rsidRPr="005C2CE8">
        <w:rPr>
          <w:lang w:val="en-US"/>
        </w:rPr>
        <w:t xml:space="preserve"> of </w:t>
      </w:r>
      <w:r>
        <w:rPr>
          <w:lang w:val="en-US"/>
        </w:rPr>
        <w:t>SGLT-2i</w:t>
      </w:r>
      <w:r w:rsidRPr="005C2CE8">
        <w:rPr>
          <w:lang w:val="en-US"/>
        </w:rPr>
        <w:t xml:space="preserve"> users </w:t>
      </w:r>
      <w:r>
        <w:rPr>
          <w:lang w:val="en-US"/>
        </w:rPr>
        <w:lastRenderedPageBreak/>
        <w:t>are</w:t>
      </w:r>
      <w:r w:rsidRPr="005C2CE8">
        <w:rPr>
          <w:lang w:val="en-US"/>
        </w:rPr>
        <w:t xml:space="preserve"> described below</w:t>
      </w:r>
      <w:r>
        <w:rPr>
          <w:lang w:val="en-US"/>
        </w:rPr>
        <w:t>, dapagliflozin accounts for 80-100% of the patients on SGLT-2i in included European databases and 25-40% in the included US databases</w:t>
      </w:r>
      <w:r w:rsidRPr="005C2CE8">
        <w:rPr>
          <w:lang w:val="en-US"/>
        </w:rPr>
        <w:t xml:space="preserve">. </w:t>
      </w:r>
    </w:p>
    <w:p w:rsidR="006D75A3" w:rsidRPr="005C2CE8" w:rsidRDefault="006D75A3" w:rsidP="006D75A3">
      <w:pPr>
        <w:spacing w:after="0"/>
      </w:pPr>
      <w:r w:rsidRPr="005C2CE8">
        <w:t xml:space="preserve">The current number of SGLT users and dapagliflozin users in each of the databases. </w:t>
      </w:r>
    </w:p>
    <w:tbl>
      <w:tblPr>
        <w:tblW w:w="0" w:type="auto"/>
        <w:tblLook w:val="04A0" w:firstRow="1" w:lastRow="0" w:firstColumn="1" w:lastColumn="0" w:noHBand="0" w:noVBand="1"/>
      </w:tblPr>
      <w:tblGrid>
        <w:gridCol w:w="1400"/>
        <w:gridCol w:w="1123"/>
        <w:gridCol w:w="1086"/>
        <w:gridCol w:w="1038"/>
        <w:gridCol w:w="1183"/>
        <w:gridCol w:w="850"/>
      </w:tblGrid>
      <w:tr w:rsidR="006D75A3" w:rsidRPr="005C2CE8" w:rsidTr="00732889">
        <w:tc>
          <w:tcPr>
            <w:tcW w:w="0" w:type="auto"/>
            <w:tcBorders>
              <w:top w:val="single" w:sz="4" w:space="0" w:color="auto"/>
              <w:bottom w:val="single" w:sz="4" w:space="0" w:color="auto"/>
            </w:tcBorders>
          </w:tcPr>
          <w:p w:rsidR="006D75A3" w:rsidRPr="00BC1D5C" w:rsidRDefault="006D75A3" w:rsidP="00732889">
            <w:pPr>
              <w:spacing w:after="0"/>
              <w:rPr>
                <w:sz w:val="20"/>
              </w:rPr>
            </w:pPr>
          </w:p>
        </w:tc>
        <w:tc>
          <w:tcPr>
            <w:tcW w:w="0" w:type="auto"/>
            <w:tcBorders>
              <w:top w:val="single" w:sz="4" w:space="0" w:color="auto"/>
              <w:bottom w:val="single" w:sz="4" w:space="0" w:color="auto"/>
            </w:tcBorders>
          </w:tcPr>
          <w:p w:rsidR="006D75A3" w:rsidRPr="00BC1D5C" w:rsidRDefault="006D75A3" w:rsidP="00732889">
            <w:pPr>
              <w:spacing w:after="0"/>
              <w:rPr>
                <w:sz w:val="20"/>
              </w:rPr>
            </w:pPr>
            <w:r w:rsidRPr="00BC1D5C">
              <w:rPr>
                <w:sz w:val="20"/>
              </w:rPr>
              <w:t>CPRD</w:t>
            </w:r>
          </w:p>
        </w:tc>
        <w:tc>
          <w:tcPr>
            <w:tcW w:w="0" w:type="auto"/>
            <w:tcBorders>
              <w:top w:val="single" w:sz="4" w:space="0" w:color="auto"/>
              <w:bottom w:val="single" w:sz="4" w:space="0" w:color="auto"/>
            </w:tcBorders>
          </w:tcPr>
          <w:p w:rsidR="006D75A3" w:rsidRPr="00BC1D5C" w:rsidRDefault="006D75A3" w:rsidP="00732889">
            <w:pPr>
              <w:spacing w:after="0"/>
              <w:rPr>
                <w:sz w:val="20"/>
              </w:rPr>
            </w:pPr>
            <w:r w:rsidRPr="00BC1D5C">
              <w:rPr>
                <w:sz w:val="20"/>
              </w:rPr>
              <w:t>THIN</w:t>
            </w:r>
          </w:p>
        </w:tc>
        <w:tc>
          <w:tcPr>
            <w:tcW w:w="0" w:type="auto"/>
            <w:tcBorders>
              <w:top w:val="single" w:sz="4" w:space="0" w:color="auto"/>
              <w:bottom w:val="single" w:sz="4" w:space="0" w:color="auto"/>
            </w:tcBorders>
          </w:tcPr>
          <w:p w:rsidR="006D75A3" w:rsidRPr="00BC1D5C" w:rsidRDefault="006D75A3" w:rsidP="00732889">
            <w:pPr>
              <w:spacing w:after="0"/>
              <w:rPr>
                <w:sz w:val="20"/>
              </w:rPr>
            </w:pPr>
            <w:r w:rsidRPr="00BC1D5C">
              <w:rPr>
                <w:sz w:val="20"/>
              </w:rPr>
              <w:t>Humedica</w:t>
            </w:r>
          </w:p>
        </w:tc>
        <w:tc>
          <w:tcPr>
            <w:tcW w:w="0" w:type="auto"/>
            <w:tcBorders>
              <w:top w:val="single" w:sz="4" w:space="0" w:color="auto"/>
              <w:bottom w:val="single" w:sz="4" w:space="0" w:color="auto"/>
            </w:tcBorders>
          </w:tcPr>
          <w:p w:rsidR="006D75A3" w:rsidRPr="00BC1D5C" w:rsidRDefault="006D75A3" w:rsidP="00732889">
            <w:pPr>
              <w:spacing w:after="0"/>
              <w:rPr>
                <w:sz w:val="20"/>
              </w:rPr>
            </w:pPr>
            <w:proofErr w:type="spellStart"/>
            <w:r>
              <w:rPr>
                <w:sz w:val="20"/>
              </w:rPr>
              <w:t>Market</w:t>
            </w:r>
            <w:r w:rsidRPr="00BC1D5C">
              <w:rPr>
                <w:sz w:val="20"/>
              </w:rPr>
              <w:t>Scan</w:t>
            </w:r>
            <w:proofErr w:type="spellEnd"/>
          </w:p>
        </w:tc>
        <w:tc>
          <w:tcPr>
            <w:tcW w:w="0" w:type="auto"/>
            <w:tcBorders>
              <w:top w:val="single" w:sz="4" w:space="0" w:color="auto"/>
              <w:bottom w:val="single" w:sz="4" w:space="0" w:color="auto"/>
            </w:tcBorders>
          </w:tcPr>
          <w:p w:rsidR="006D75A3" w:rsidRPr="00BC1D5C" w:rsidRDefault="006D75A3" w:rsidP="00732889">
            <w:pPr>
              <w:spacing w:after="0"/>
              <w:rPr>
                <w:sz w:val="20"/>
              </w:rPr>
            </w:pPr>
            <w:r w:rsidRPr="00BC1D5C">
              <w:rPr>
                <w:sz w:val="20"/>
              </w:rPr>
              <w:t xml:space="preserve">Sweden </w:t>
            </w:r>
          </w:p>
        </w:tc>
      </w:tr>
      <w:tr w:rsidR="006D75A3" w:rsidRPr="005C2CE8" w:rsidTr="00732889">
        <w:tc>
          <w:tcPr>
            <w:tcW w:w="0" w:type="auto"/>
            <w:tcBorders>
              <w:top w:val="single" w:sz="4" w:space="0" w:color="auto"/>
            </w:tcBorders>
          </w:tcPr>
          <w:p w:rsidR="006D75A3" w:rsidRPr="00BC1D5C" w:rsidRDefault="006D75A3" w:rsidP="00732889">
            <w:pPr>
              <w:spacing w:after="0"/>
              <w:rPr>
                <w:sz w:val="20"/>
              </w:rPr>
            </w:pPr>
            <w:r w:rsidRPr="00BC1D5C">
              <w:rPr>
                <w:sz w:val="20"/>
              </w:rPr>
              <w:t>SGLT-2</w:t>
            </w:r>
            <w:r>
              <w:rPr>
                <w:sz w:val="20"/>
              </w:rPr>
              <w:t>i</w:t>
            </w:r>
            <w:r w:rsidRPr="00BC1D5C">
              <w:rPr>
                <w:sz w:val="20"/>
              </w:rPr>
              <w:t xml:space="preserve"> users</w:t>
            </w:r>
          </w:p>
        </w:tc>
        <w:tc>
          <w:tcPr>
            <w:tcW w:w="0" w:type="auto"/>
            <w:tcBorders>
              <w:top w:val="single" w:sz="4" w:space="0" w:color="auto"/>
            </w:tcBorders>
          </w:tcPr>
          <w:p w:rsidR="006D75A3" w:rsidRPr="00BC1D5C" w:rsidRDefault="006D75A3" w:rsidP="00732889">
            <w:pPr>
              <w:spacing w:after="0"/>
              <w:rPr>
                <w:sz w:val="20"/>
              </w:rPr>
            </w:pPr>
            <w:r w:rsidRPr="00BC1D5C">
              <w:rPr>
                <w:iCs/>
                <w:sz w:val="20"/>
              </w:rPr>
              <w:t>6684</w:t>
            </w:r>
          </w:p>
        </w:tc>
        <w:tc>
          <w:tcPr>
            <w:tcW w:w="0" w:type="auto"/>
            <w:tcBorders>
              <w:top w:val="single" w:sz="4" w:space="0" w:color="auto"/>
            </w:tcBorders>
          </w:tcPr>
          <w:p w:rsidR="006D75A3" w:rsidRPr="00BC1D5C" w:rsidRDefault="006D75A3" w:rsidP="00732889">
            <w:pPr>
              <w:spacing w:after="0"/>
              <w:rPr>
                <w:sz w:val="20"/>
              </w:rPr>
            </w:pPr>
            <w:r w:rsidRPr="00BC1D5C">
              <w:rPr>
                <w:sz w:val="20"/>
              </w:rPr>
              <w:t>4381</w:t>
            </w:r>
          </w:p>
        </w:tc>
        <w:tc>
          <w:tcPr>
            <w:tcW w:w="0" w:type="auto"/>
            <w:tcBorders>
              <w:top w:val="single" w:sz="4" w:space="0" w:color="auto"/>
            </w:tcBorders>
          </w:tcPr>
          <w:p w:rsidR="006D75A3" w:rsidRPr="00BC1D5C" w:rsidRDefault="006D75A3" w:rsidP="00732889">
            <w:pPr>
              <w:spacing w:after="0"/>
              <w:rPr>
                <w:sz w:val="20"/>
              </w:rPr>
            </w:pPr>
            <w:r w:rsidRPr="00BC1D5C">
              <w:rPr>
                <w:sz w:val="20"/>
              </w:rPr>
              <w:t>38,928</w:t>
            </w:r>
          </w:p>
        </w:tc>
        <w:tc>
          <w:tcPr>
            <w:tcW w:w="0" w:type="auto"/>
            <w:tcBorders>
              <w:top w:val="single" w:sz="4" w:space="0" w:color="auto"/>
            </w:tcBorders>
          </w:tcPr>
          <w:p w:rsidR="006D75A3" w:rsidRPr="00BC1D5C" w:rsidRDefault="006D75A3" w:rsidP="00732889">
            <w:pPr>
              <w:spacing w:after="0"/>
              <w:rPr>
                <w:sz w:val="20"/>
              </w:rPr>
            </w:pPr>
            <w:r w:rsidRPr="00BC1D5C">
              <w:rPr>
                <w:sz w:val="20"/>
              </w:rPr>
              <w:t>58,925</w:t>
            </w:r>
          </w:p>
        </w:tc>
        <w:tc>
          <w:tcPr>
            <w:tcW w:w="0" w:type="auto"/>
            <w:tcBorders>
              <w:top w:val="single" w:sz="4" w:space="0" w:color="auto"/>
            </w:tcBorders>
          </w:tcPr>
          <w:p w:rsidR="006D75A3" w:rsidRPr="00BC1D5C" w:rsidRDefault="006D75A3" w:rsidP="00732889">
            <w:pPr>
              <w:spacing w:after="0"/>
              <w:rPr>
                <w:sz w:val="20"/>
              </w:rPr>
            </w:pPr>
            <w:r w:rsidRPr="00BC1D5C">
              <w:rPr>
                <w:sz w:val="20"/>
              </w:rPr>
              <w:t>~3,000</w:t>
            </w:r>
          </w:p>
        </w:tc>
      </w:tr>
      <w:tr w:rsidR="006D75A3" w:rsidRPr="005C2CE8" w:rsidTr="00732889">
        <w:tc>
          <w:tcPr>
            <w:tcW w:w="0" w:type="auto"/>
          </w:tcPr>
          <w:p w:rsidR="006D75A3" w:rsidRPr="00BC1D5C" w:rsidRDefault="006D75A3" w:rsidP="00732889">
            <w:pPr>
              <w:spacing w:after="0"/>
              <w:rPr>
                <w:sz w:val="20"/>
              </w:rPr>
            </w:pPr>
            <w:r w:rsidRPr="00BC1D5C">
              <w:rPr>
                <w:sz w:val="20"/>
              </w:rPr>
              <w:t xml:space="preserve">Dapagliflozin </w:t>
            </w:r>
          </w:p>
        </w:tc>
        <w:tc>
          <w:tcPr>
            <w:tcW w:w="0" w:type="auto"/>
          </w:tcPr>
          <w:p w:rsidR="006D75A3" w:rsidRPr="00BC1D5C" w:rsidRDefault="006D75A3" w:rsidP="00732889">
            <w:pPr>
              <w:spacing w:after="0"/>
              <w:rPr>
                <w:sz w:val="20"/>
              </w:rPr>
            </w:pPr>
            <w:r w:rsidRPr="00BC1D5C">
              <w:rPr>
                <w:sz w:val="20"/>
              </w:rPr>
              <w:t>5281</w:t>
            </w:r>
          </w:p>
        </w:tc>
        <w:tc>
          <w:tcPr>
            <w:tcW w:w="0" w:type="auto"/>
          </w:tcPr>
          <w:p w:rsidR="006D75A3" w:rsidRPr="00BC1D5C" w:rsidRDefault="006D75A3" w:rsidP="00732889">
            <w:pPr>
              <w:spacing w:after="0"/>
              <w:rPr>
                <w:sz w:val="20"/>
              </w:rPr>
            </w:pPr>
            <w:r w:rsidRPr="00BC1D5C">
              <w:rPr>
                <w:sz w:val="20"/>
              </w:rPr>
              <w:t>3790</w:t>
            </w:r>
            <w:r w:rsidRPr="00440697">
              <w:rPr>
                <w:sz w:val="20"/>
                <w:vertAlign w:val="superscript"/>
              </w:rPr>
              <w:t>*</w:t>
            </w:r>
          </w:p>
        </w:tc>
        <w:tc>
          <w:tcPr>
            <w:tcW w:w="0" w:type="auto"/>
          </w:tcPr>
          <w:p w:rsidR="006D75A3" w:rsidRPr="00BC1D5C" w:rsidRDefault="006D75A3" w:rsidP="00732889">
            <w:pPr>
              <w:spacing w:after="0"/>
              <w:rPr>
                <w:sz w:val="20"/>
              </w:rPr>
            </w:pPr>
            <w:r w:rsidRPr="00BC1D5C">
              <w:rPr>
                <w:sz w:val="20"/>
              </w:rPr>
              <w:t>9,565</w:t>
            </w:r>
          </w:p>
        </w:tc>
        <w:tc>
          <w:tcPr>
            <w:tcW w:w="0" w:type="auto"/>
          </w:tcPr>
          <w:p w:rsidR="006D75A3" w:rsidRPr="00BC1D5C" w:rsidRDefault="006D75A3" w:rsidP="00732889">
            <w:pPr>
              <w:spacing w:after="0"/>
              <w:rPr>
                <w:sz w:val="20"/>
              </w:rPr>
            </w:pPr>
            <w:r w:rsidRPr="00BC1D5C">
              <w:rPr>
                <w:sz w:val="20"/>
              </w:rPr>
              <w:t>24,211</w:t>
            </w:r>
          </w:p>
        </w:tc>
        <w:tc>
          <w:tcPr>
            <w:tcW w:w="0" w:type="auto"/>
          </w:tcPr>
          <w:p w:rsidR="006D75A3" w:rsidRPr="00BC1D5C" w:rsidRDefault="006D75A3" w:rsidP="00732889">
            <w:pPr>
              <w:spacing w:after="0"/>
              <w:rPr>
                <w:sz w:val="20"/>
              </w:rPr>
            </w:pPr>
            <w:r w:rsidRPr="00BC1D5C">
              <w:rPr>
                <w:sz w:val="20"/>
              </w:rPr>
              <w:t>~3,000</w:t>
            </w:r>
          </w:p>
        </w:tc>
      </w:tr>
      <w:tr w:rsidR="006D75A3" w:rsidRPr="005C2CE8" w:rsidTr="00732889">
        <w:tc>
          <w:tcPr>
            <w:tcW w:w="0" w:type="auto"/>
            <w:tcBorders>
              <w:bottom w:val="single" w:sz="4" w:space="0" w:color="auto"/>
            </w:tcBorders>
          </w:tcPr>
          <w:p w:rsidR="006D75A3" w:rsidRPr="00BC1D5C" w:rsidRDefault="006D75A3" w:rsidP="00732889">
            <w:pPr>
              <w:spacing w:after="0"/>
              <w:rPr>
                <w:sz w:val="20"/>
              </w:rPr>
            </w:pPr>
            <w:r w:rsidRPr="00BC1D5C">
              <w:rPr>
                <w:sz w:val="20"/>
              </w:rPr>
              <w:t>Updated to</w:t>
            </w:r>
          </w:p>
        </w:tc>
        <w:tc>
          <w:tcPr>
            <w:tcW w:w="0" w:type="auto"/>
            <w:tcBorders>
              <w:bottom w:val="single" w:sz="4" w:space="0" w:color="auto"/>
            </w:tcBorders>
          </w:tcPr>
          <w:p w:rsidR="006D75A3" w:rsidRPr="00BC1D5C" w:rsidRDefault="006D75A3" w:rsidP="00732889">
            <w:pPr>
              <w:spacing w:after="0"/>
              <w:rPr>
                <w:sz w:val="20"/>
              </w:rPr>
            </w:pPr>
            <w:r w:rsidRPr="00BC1D5C">
              <w:rPr>
                <w:sz w:val="20"/>
              </w:rPr>
              <w:t>15/08/15</w:t>
            </w:r>
            <w:r w:rsidRPr="00440697">
              <w:rPr>
                <w:sz w:val="20"/>
                <w:vertAlign w:val="superscript"/>
              </w:rPr>
              <w:t>***</w:t>
            </w:r>
          </w:p>
        </w:tc>
        <w:tc>
          <w:tcPr>
            <w:tcW w:w="0" w:type="auto"/>
            <w:tcBorders>
              <w:bottom w:val="single" w:sz="4" w:space="0" w:color="auto"/>
            </w:tcBorders>
          </w:tcPr>
          <w:p w:rsidR="006D75A3" w:rsidRPr="00BC1D5C" w:rsidRDefault="006D75A3" w:rsidP="00732889">
            <w:pPr>
              <w:spacing w:after="0"/>
              <w:rPr>
                <w:sz w:val="20"/>
              </w:rPr>
            </w:pPr>
            <w:r w:rsidRPr="00BC1D5C">
              <w:rPr>
                <w:sz w:val="20"/>
              </w:rPr>
              <w:t xml:space="preserve">~01/06/ 15 </w:t>
            </w:r>
          </w:p>
        </w:tc>
        <w:tc>
          <w:tcPr>
            <w:tcW w:w="0" w:type="auto"/>
            <w:tcBorders>
              <w:bottom w:val="single" w:sz="4" w:space="0" w:color="auto"/>
            </w:tcBorders>
          </w:tcPr>
          <w:p w:rsidR="006D75A3" w:rsidRPr="00BC1D5C" w:rsidRDefault="006D75A3" w:rsidP="00732889">
            <w:pPr>
              <w:spacing w:after="0"/>
              <w:rPr>
                <w:sz w:val="20"/>
              </w:rPr>
            </w:pPr>
            <w:r w:rsidRPr="00BC1D5C">
              <w:rPr>
                <w:sz w:val="20"/>
              </w:rPr>
              <w:t>31/</w:t>
            </w:r>
            <w:r>
              <w:rPr>
                <w:sz w:val="20"/>
              </w:rPr>
              <w:t>03</w:t>
            </w:r>
            <w:r w:rsidRPr="00BC1D5C">
              <w:rPr>
                <w:sz w:val="20"/>
              </w:rPr>
              <w:t>/15</w:t>
            </w:r>
          </w:p>
        </w:tc>
        <w:tc>
          <w:tcPr>
            <w:tcW w:w="0" w:type="auto"/>
            <w:tcBorders>
              <w:bottom w:val="single" w:sz="4" w:space="0" w:color="auto"/>
            </w:tcBorders>
          </w:tcPr>
          <w:p w:rsidR="006D75A3" w:rsidRPr="00BC1D5C" w:rsidRDefault="006D75A3" w:rsidP="00732889">
            <w:pPr>
              <w:spacing w:after="0"/>
              <w:rPr>
                <w:sz w:val="20"/>
              </w:rPr>
            </w:pPr>
            <w:r w:rsidRPr="00BC1D5C">
              <w:rPr>
                <w:sz w:val="20"/>
              </w:rPr>
              <w:t>31/</w:t>
            </w:r>
            <w:r>
              <w:rPr>
                <w:sz w:val="20"/>
              </w:rPr>
              <w:t>12</w:t>
            </w:r>
            <w:r w:rsidRPr="00BC1D5C">
              <w:rPr>
                <w:sz w:val="20"/>
              </w:rPr>
              <w:t>/14</w:t>
            </w:r>
          </w:p>
        </w:tc>
        <w:tc>
          <w:tcPr>
            <w:tcW w:w="0" w:type="auto"/>
            <w:tcBorders>
              <w:bottom w:val="single" w:sz="4" w:space="0" w:color="auto"/>
            </w:tcBorders>
          </w:tcPr>
          <w:p w:rsidR="006D75A3" w:rsidRPr="00BC1D5C" w:rsidRDefault="006D75A3" w:rsidP="00732889">
            <w:pPr>
              <w:spacing w:after="0"/>
              <w:rPr>
                <w:sz w:val="20"/>
              </w:rPr>
            </w:pPr>
            <w:r>
              <w:rPr>
                <w:sz w:val="20"/>
              </w:rPr>
              <w:t>2014</w:t>
            </w:r>
          </w:p>
        </w:tc>
      </w:tr>
    </w:tbl>
    <w:p w:rsidR="006D75A3" w:rsidRPr="002A2856" w:rsidRDefault="006D75A3" w:rsidP="006D75A3">
      <w:pPr>
        <w:spacing w:after="0"/>
        <w:rPr>
          <w:sz w:val="20"/>
        </w:rPr>
      </w:pPr>
      <w:r w:rsidRPr="00FA4E2D">
        <w:rPr>
          <w:sz w:val="20"/>
        </w:rPr>
        <w:t xml:space="preserve">*a more recent count for dapagliflozin in THIN revealed: ~4,400 patients </w:t>
      </w:r>
      <w:r>
        <w:rPr>
          <w:sz w:val="20"/>
        </w:rPr>
        <w:t xml:space="preserve">from data updated </w:t>
      </w:r>
      <w:proofErr w:type="spellStart"/>
      <w:r>
        <w:rPr>
          <w:sz w:val="20"/>
        </w:rPr>
        <w:t>approx</w:t>
      </w:r>
      <w:proofErr w:type="spellEnd"/>
      <w:r>
        <w:rPr>
          <w:sz w:val="20"/>
        </w:rPr>
        <w:t xml:space="preserve"> Sep/2015</w:t>
      </w:r>
      <w:r w:rsidRPr="00FA4E2D">
        <w:rPr>
          <w:sz w:val="20"/>
        </w:rPr>
        <w:t xml:space="preserve"> ** </w:t>
      </w:r>
      <w:r>
        <w:rPr>
          <w:sz w:val="20"/>
        </w:rPr>
        <w:t>Not available</w:t>
      </w:r>
      <w:r w:rsidRPr="00FA4E2D">
        <w:rPr>
          <w:sz w:val="20"/>
        </w:rPr>
        <w:t xml:space="preserve"> *** </w:t>
      </w:r>
      <w:r w:rsidRPr="00BC1D5C">
        <w:rPr>
          <w:sz w:val="20"/>
        </w:rPr>
        <w:t>15/6/15 (</w:t>
      </w:r>
      <w:proofErr w:type="spellStart"/>
      <w:r w:rsidRPr="00BC1D5C">
        <w:rPr>
          <w:sz w:val="20"/>
        </w:rPr>
        <w:t>dapa</w:t>
      </w:r>
      <w:proofErr w:type="spellEnd"/>
      <w:r w:rsidRPr="00BC1D5C">
        <w:rPr>
          <w:sz w:val="20"/>
        </w:rPr>
        <w:t>)</w:t>
      </w:r>
    </w:p>
    <w:p w:rsidR="006D75A3" w:rsidRDefault="006D75A3" w:rsidP="006D75A3">
      <w:pPr>
        <w:pStyle w:val="A-Unassigned"/>
        <w:outlineLvl w:val="0"/>
      </w:pPr>
      <w:r>
        <w:t>Duration of treatment</w:t>
      </w:r>
    </w:p>
    <w:p w:rsidR="006D75A3" w:rsidRPr="00120A2E" w:rsidRDefault="006D75A3" w:rsidP="006D75A3">
      <w:r w:rsidRPr="00BF2B13">
        <w:rPr>
          <w:lang w:val="en-US"/>
        </w:rPr>
        <w:t>Participants w</w:t>
      </w:r>
      <w:r>
        <w:rPr>
          <w:lang w:val="en-US"/>
        </w:rPr>
        <w:t>ere</w:t>
      </w:r>
      <w:r w:rsidRPr="00BF2B13">
        <w:rPr>
          <w:lang w:val="en-US"/>
        </w:rPr>
        <w:t xml:space="preserve"> </w:t>
      </w:r>
      <w:proofErr w:type="spellStart"/>
      <w:r w:rsidRPr="00BF2B13">
        <w:rPr>
          <w:lang w:val="en-US"/>
        </w:rPr>
        <w:t>follo</w:t>
      </w:r>
      <w:proofErr w:type="spellEnd"/>
      <w:r>
        <w:t>wed from the index date until end o</w:t>
      </w:r>
      <w:r w:rsidRPr="00BF2B13">
        <w:rPr>
          <w:lang w:val="en-US"/>
        </w:rPr>
        <w:t>f</w:t>
      </w:r>
      <w:r>
        <w:t xml:space="preserve"> use of the index treatment or migration/leaving the practice/leaving the database, last date of data collection, death date (Sweden, UK) or date of outcome.</w:t>
      </w:r>
    </w:p>
    <w:p w:rsidR="006D75A3" w:rsidRDefault="006D75A3" w:rsidP="006D75A3">
      <w:pPr>
        <w:pStyle w:val="A-Unassigned"/>
        <w:outlineLvl w:val="0"/>
      </w:pPr>
      <w:r>
        <w:t>Statistical methods</w:t>
      </w:r>
    </w:p>
    <w:p w:rsidR="006D75A3" w:rsidRPr="006872BF" w:rsidRDefault="006D75A3" w:rsidP="006D75A3">
      <w:pPr>
        <w:autoSpaceDE w:val="0"/>
        <w:autoSpaceDN w:val="0"/>
        <w:adjustRightInd w:val="0"/>
        <w:spacing w:after="0" w:line="240" w:lineRule="auto"/>
        <w:contextualSpacing/>
        <w:rPr>
          <w:szCs w:val="24"/>
        </w:rPr>
      </w:pPr>
      <w:r w:rsidRPr="006872BF">
        <w:rPr>
          <w:szCs w:val="24"/>
        </w:rPr>
        <w:t xml:space="preserve">Baseline characteristics were analysed using descriptive statistics. Categorical variables were described by frequencies and percentages, and mean ± standard deviation (SD) were used for continuous variables. The overall mean across all databases was a summary estimate of country-specific means, weighted according to the number of patients in each database. The proportion of exposure time contributed by individual agents was summarized both overall and by country. </w:t>
      </w:r>
    </w:p>
    <w:p w:rsidR="006D75A3" w:rsidRPr="006872BF" w:rsidRDefault="006D75A3" w:rsidP="006D75A3">
      <w:pPr>
        <w:autoSpaceDE w:val="0"/>
        <w:autoSpaceDN w:val="0"/>
        <w:adjustRightInd w:val="0"/>
        <w:spacing w:after="0" w:line="240" w:lineRule="auto"/>
        <w:contextualSpacing/>
        <w:rPr>
          <w:szCs w:val="24"/>
        </w:rPr>
      </w:pPr>
    </w:p>
    <w:p w:rsidR="006D75A3" w:rsidRPr="006872BF" w:rsidRDefault="006D75A3" w:rsidP="006D75A3">
      <w:pPr>
        <w:autoSpaceDE w:val="0"/>
        <w:autoSpaceDN w:val="0"/>
        <w:adjustRightInd w:val="0"/>
        <w:spacing w:after="0" w:line="240" w:lineRule="auto"/>
        <w:contextualSpacing/>
        <w:rPr>
          <w:szCs w:val="24"/>
        </w:rPr>
      </w:pPr>
      <w:r w:rsidRPr="006872BF">
        <w:rPr>
          <w:szCs w:val="24"/>
        </w:rPr>
        <w:t xml:space="preserve">A non-parsimonious propensity score for initiating SGLT-2i was developed separately for each country. All available variables in each country that could affect treatment assignment or outcomes were included in the propensity score (baseline comorbidity information was not available for Australia, although extensive medication data were available). Based on propensity scores, episodes of patients initiating SGLT-2i were matched 1:1 with episodes of initiating </w:t>
      </w:r>
      <w:proofErr w:type="spellStart"/>
      <w:r w:rsidRPr="006872BF">
        <w:rPr>
          <w:szCs w:val="24"/>
        </w:rPr>
        <w:t>oGLD</w:t>
      </w:r>
      <w:proofErr w:type="spellEnd"/>
      <w:r w:rsidRPr="006872BF">
        <w:rPr>
          <w:szCs w:val="24"/>
        </w:rPr>
        <w:t>. The adequacy of matching was assessed by evaluating post-match standardized differences in patient characteristics. A non-negligible imbalance was considered if a &gt;10% standardized difference occurred between the two groups post-match.</w:t>
      </w:r>
    </w:p>
    <w:p w:rsidR="006D75A3" w:rsidRPr="006872BF" w:rsidRDefault="006D75A3" w:rsidP="006D75A3">
      <w:pPr>
        <w:autoSpaceDE w:val="0"/>
        <w:autoSpaceDN w:val="0"/>
        <w:adjustRightInd w:val="0"/>
        <w:spacing w:after="0" w:line="240" w:lineRule="auto"/>
        <w:contextualSpacing/>
        <w:rPr>
          <w:szCs w:val="24"/>
        </w:rPr>
      </w:pPr>
    </w:p>
    <w:p w:rsidR="006D75A3" w:rsidRPr="006872BF" w:rsidRDefault="006D75A3" w:rsidP="006D75A3">
      <w:pPr>
        <w:autoSpaceDE w:val="0"/>
        <w:autoSpaceDN w:val="0"/>
        <w:adjustRightInd w:val="0"/>
        <w:spacing w:after="0" w:line="240" w:lineRule="auto"/>
        <w:contextualSpacing/>
        <w:rPr>
          <w:szCs w:val="24"/>
        </w:rPr>
      </w:pPr>
      <w:r w:rsidRPr="006872BF">
        <w:rPr>
          <w:szCs w:val="24"/>
        </w:rPr>
        <w:t xml:space="preserve">The incidence rate (IR) for each outcome was assessed by treatment group as the number of events divided by the total number of person-years at risk. The time to first event was compared between groups using Cox proportional hazards models, presented as hazard ratios (HR; 95%CI) for each outcome separately by country. The primary analysis used an intent-to-treat (ITT) approach where patients were followed from the start of index treatment until either occurrence of the first outcome event or the censoring date (whichever came first), regardless of whether index treatment was discontinued. The HRs for each endpoint from each individual country were then pooled for an overall weighted summary, using random-effects models with inverse variance weighting for each country. </w:t>
      </w:r>
    </w:p>
    <w:p w:rsidR="006D75A3" w:rsidRPr="006872BF" w:rsidRDefault="006D75A3" w:rsidP="006D75A3">
      <w:pPr>
        <w:autoSpaceDE w:val="0"/>
        <w:autoSpaceDN w:val="0"/>
        <w:adjustRightInd w:val="0"/>
        <w:spacing w:after="0" w:line="240" w:lineRule="auto"/>
        <w:contextualSpacing/>
        <w:rPr>
          <w:szCs w:val="24"/>
        </w:rPr>
      </w:pPr>
    </w:p>
    <w:p w:rsidR="006D75A3" w:rsidRPr="006872BF" w:rsidRDefault="006D75A3" w:rsidP="006D75A3">
      <w:pPr>
        <w:autoSpaceDE w:val="0"/>
        <w:autoSpaceDN w:val="0"/>
        <w:adjustRightInd w:val="0"/>
        <w:spacing w:after="0" w:line="240" w:lineRule="auto"/>
        <w:contextualSpacing/>
        <w:rPr>
          <w:szCs w:val="24"/>
        </w:rPr>
      </w:pPr>
      <w:r w:rsidRPr="006872BF">
        <w:rPr>
          <w:szCs w:val="24"/>
        </w:rPr>
        <w:t xml:space="preserve">Analyses for each outcome were also stratified according to the presence of prior CVD (defined as history of myocardial infarction, unstable angina, heart failure, atrial fibrillation, </w:t>
      </w:r>
      <w:r w:rsidRPr="006872BF">
        <w:rPr>
          <w:szCs w:val="24"/>
        </w:rPr>
        <w:lastRenderedPageBreak/>
        <w:t>stroke, percutaneous coronary intervention [PCI] or coronary artery bypass graft [CABG]); patient age and sex; history of heart failure, chronic kidney disease (CKD), or cancer; baseline use of angiotensin-converting enzyme inhibitors (</w:t>
      </w:r>
      <w:proofErr w:type="spellStart"/>
      <w:r w:rsidRPr="006872BF">
        <w:rPr>
          <w:szCs w:val="24"/>
        </w:rPr>
        <w:t>ACEi</w:t>
      </w:r>
      <w:proofErr w:type="spellEnd"/>
      <w:r w:rsidRPr="006872BF">
        <w:rPr>
          <w:szCs w:val="24"/>
        </w:rPr>
        <w:t xml:space="preserve">) or angiotensin receptor blockers (ARBs), β-blockers, high ceiling diuretics, aldosterone antagonists, insulin, </w:t>
      </w:r>
      <w:proofErr w:type="spellStart"/>
      <w:r w:rsidRPr="006872BF">
        <w:rPr>
          <w:szCs w:val="24"/>
        </w:rPr>
        <w:t>sulphonylureas</w:t>
      </w:r>
      <w:proofErr w:type="spellEnd"/>
      <w:r w:rsidRPr="006872BF">
        <w:rPr>
          <w:szCs w:val="24"/>
        </w:rPr>
        <w:t xml:space="preserve">, and statins. </w:t>
      </w:r>
    </w:p>
    <w:p w:rsidR="006D75A3" w:rsidRPr="006872BF" w:rsidRDefault="006D75A3" w:rsidP="006D75A3">
      <w:pPr>
        <w:autoSpaceDE w:val="0"/>
        <w:autoSpaceDN w:val="0"/>
        <w:adjustRightInd w:val="0"/>
        <w:spacing w:after="0" w:line="240" w:lineRule="auto"/>
        <w:contextualSpacing/>
        <w:rPr>
          <w:szCs w:val="24"/>
        </w:rPr>
      </w:pPr>
    </w:p>
    <w:p w:rsidR="006D75A3" w:rsidRPr="006872BF" w:rsidRDefault="006D75A3" w:rsidP="006D75A3">
      <w:pPr>
        <w:autoSpaceDE w:val="0"/>
        <w:autoSpaceDN w:val="0"/>
        <w:adjustRightInd w:val="0"/>
        <w:spacing w:after="0" w:line="240" w:lineRule="auto"/>
        <w:contextualSpacing/>
        <w:rPr>
          <w:szCs w:val="24"/>
        </w:rPr>
      </w:pPr>
      <w:r w:rsidRPr="006872BF">
        <w:rPr>
          <w:szCs w:val="24"/>
        </w:rPr>
        <w:t xml:space="preserve">Sensitivity analyses were performed in order to evaluate the stability of the findings: data for the primary analysis were additionally adjusted for multiple covariates (age, gender, </w:t>
      </w:r>
      <w:r w:rsidRPr="006872BF">
        <w:t>frailty [defined as at least one hospitalization of at least three consecutive days during the year prior to index],</w:t>
      </w:r>
      <w:r w:rsidRPr="006872BF">
        <w:rPr>
          <w:szCs w:val="24"/>
        </w:rPr>
        <w:t xml:space="preserve"> history of heart failure, history of myocardial infarction, atrial fibrillation history, hypertension [if available], obesity/BMI [if available], duration of diabetes [if available], and use of </w:t>
      </w:r>
      <w:proofErr w:type="spellStart"/>
      <w:r w:rsidRPr="006872BF">
        <w:rPr>
          <w:szCs w:val="24"/>
        </w:rPr>
        <w:t>ACEi</w:t>
      </w:r>
      <w:proofErr w:type="spellEnd"/>
      <w:r w:rsidRPr="006872BF">
        <w:rPr>
          <w:szCs w:val="24"/>
        </w:rPr>
        <w:t xml:space="preserve"> or ARBs, β-blockers, Ca</w:t>
      </w:r>
      <w:r w:rsidRPr="006872BF">
        <w:rPr>
          <w:szCs w:val="24"/>
          <w:vertAlign w:val="superscript"/>
        </w:rPr>
        <w:t>2+</w:t>
      </w:r>
      <w:r w:rsidRPr="006872BF">
        <w:rPr>
          <w:szCs w:val="24"/>
        </w:rPr>
        <w:t xml:space="preserve">-channel blockers, statins, loop diuretics and thiazide diuretics); analyses were repeated using an on-treatment approach (follow-up censored at index treatment discontinuation). </w:t>
      </w:r>
    </w:p>
    <w:p w:rsidR="006D75A3" w:rsidRDefault="006D75A3" w:rsidP="006D75A3">
      <w:pPr>
        <w:pStyle w:val="A-Unassigned"/>
        <w:outlineLvl w:val="0"/>
      </w:pPr>
      <w:r>
        <w:t>Subject population</w:t>
      </w:r>
    </w:p>
    <w:p w:rsidR="006D75A3" w:rsidRPr="00583EB0" w:rsidRDefault="006D75A3" w:rsidP="006D75A3">
      <w:pPr>
        <w:pStyle w:val="A-Unassigned"/>
        <w:outlineLvl w:val="0"/>
        <w:rPr>
          <w:b w:val="0"/>
          <w:bCs/>
        </w:rPr>
      </w:pPr>
      <w:r w:rsidRPr="00583EB0">
        <w:rPr>
          <w:b w:val="0"/>
          <w:bCs/>
        </w:rPr>
        <w:t>Patients with T2D were identified using standard diagnosis codes, except in Australia where this was based on physician or nurse educator clinical diagnosis of T2D. All episodes of new initiation of either SGLT-2i or other glucose-lowering drugs (</w:t>
      </w:r>
      <w:proofErr w:type="spellStart"/>
      <w:r w:rsidRPr="00583EB0">
        <w:rPr>
          <w:b w:val="0"/>
          <w:bCs/>
        </w:rPr>
        <w:t>oGLD</w:t>
      </w:r>
      <w:proofErr w:type="spellEnd"/>
      <w:r w:rsidRPr="00583EB0">
        <w:rPr>
          <w:b w:val="0"/>
          <w:bCs/>
        </w:rPr>
        <w:t>) were selected within the country-specific date range for availability of SGLT-2i (</w:t>
      </w:r>
      <w:r>
        <w:rPr>
          <w:b w:val="0"/>
          <w:bCs/>
        </w:rPr>
        <w:t>R</w:t>
      </w:r>
      <w:r w:rsidRPr="00583EB0">
        <w:rPr>
          <w:b w:val="0"/>
          <w:bCs/>
        </w:rPr>
        <w:t>ange: December 1, 2012 [Denmark] to May 1, 2016 [Taiwan]). Treatment initiation episodes were defined as written/dispensed prescription (as initial or add-on therapy) for any SGLT-2i</w:t>
      </w:r>
      <w:r w:rsidRPr="00583EB0" w:rsidDel="00CB32D8">
        <w:rPr>
          <w:b w:val="0"/>
          <w:bCs/>
        </w:rPr>
        <w:t xml:space="preserve"> </w:t>
      </w:r>
      <w:r w:rsidRPr="00583EB0">
        <w:rPr>
          <w:b w:val="0"/>
          <w:bCs/>
        </w:rPr>
        <w:t xml:space="preserve">or </w:t>
      </w:r>
      <w:proofErr w:type="spellStart"/>
      <w:r w:rsidRPr="00583EB0">
        <w:rPr>
          <w:b w:val="0"/>
          <w:bCs/>
        </w:rPr>
        <w:t>oGLD</w:t>
      </w:r>
      <w:proofErr w:type="spellEnd"/>
      <w:r w:rsidRPr="00583EB0">
        <w:rPr>
          <w:b w:val="0"/>
          <w:bCs/>
        </w:rPr>
        <w:t xml:space="preserve">, including fixed-dose combinations, without any use of the same therapy during the preceding 12 months. Additional inclusion criteria were: age ≥18 years on the index date (defined as the prescription date for new initiation of an SGLT-2i or </w:t>
      </w:r>
      <w:proofErr w:type="spellStart"/>
      <w:r w:rsidRPr="00583EB0">
        <w:rPr>
          <w:b w:val="0"/>
          <w:bCs/>
        </w:rPr>
        <w:t>oGLD</w:t>
      </w:r>
      <w:proofErr w:type="spellEnd"/>
      <w:r w:rsidRPr="00583EB0">
        <w:rPr>
          <w:b w:val="0"/>
          <w:bCs/>
        </w:rPr>
        <w:t>) and availability of historic data for more than 1-year in the database before the index date. Patients with type 1 or gestational diabetes were excluded. Patients were followed from the index date until migration/leaving the practice/database, last date of data collection, outcome date, or censoring date (Range: December 31, 2014 [Australia] to November 30, 2017 [Singapore]).</w:t>
      </w:r>
    </w:p>
    <w:p w:rsidR="006D75A3" w:rsidRDefault="006D75A3" w:rsidP="006D75A3">
      <w:pPr>
        <w:pStyle w:val="A-Unassigned"/>
        <w:outlineLvl w:val="0"/>
      </w:pPr>
      <w:r>
        <w:t>Summary of efficacy results</w:t>
      </w:r>
    </w:p>
    <w:p w:rsidR="006D75A3" w:rsidRPr="006872BF" w:rsidRDefault="006D75A3" w:rsidP="006D75A3">
      <w:pPr>
        <w:spacing w:after="0" w:line="240" w:lineRule="auto"/>
        <w:rPr>
          <w:b/>
          <w:szCs w:val="24"/>
        </w:rPr>
      </w:pPr>
      <w:r w:rsidRPr="006872BF">
        <w:rPr>
          <w:b/>
          <w:szCs w:val="24"/>
        </w:rPr>
        <w:t>Study population</w:t>
      </w:r>
    </w:p>
    <w:p w:rsidR="006D75A3" w:rsidRPr="006872BF" w:rsidRDefault="006D75A3" w:rsidP="006D75A3">
      <w:pPr>
        <w:spacing w:after="0" w:line="240" w:lineRule="auto"/>
        <w:rPr>
          <w:szCs w:val="24"/>
        </w:rPr>
      </w:pPr>
      <w:r w:rsidRPr="006872BF">
        <w:rPr>
          <w:szCs w:val="24"/>
        </w:rPr>
        <w:t xml:space="preserve">A total of 9,631,497 patients who newly initiated either SGLT-2i or </w:t>
      </w:r>
      <w:proofErr w:type="spellStart"/>
      <w:r w:rsidRPr="006872BF">
        <w:rPr>
          <w:szCs w:val="24"/>
        </w:rPr>
        <w:t>oGLD</w:t>
      </w:r>
      <w:proofErr w:type="spellEnd"/>
      <w:r w:rsidRPr="006872BF">
        <w:rPr>
          <w:szCs w:val="24"/>
        </w:rPr>
        <w:t xml:space="preserve"> treatment during the study period was identified; 477,894 (5.0%) were new users of SGLT-2i and 9,153,603 (95.0%) were new users of </w:t>
      </w:r>
      <w:proofErr w:type="spellStart"/>
      <w:r w:rsidRPr="006872BF">
        <w:rPr>
          <w:szCs w:val="24"/>
        </w:rPr>
        <w:t>oGLD</w:t>
      </w:r>
      <w:proofErr w:type="spellEnd"/>
      <w:r w:rsidRPr="006872BF">
        <w:rPr>
          <w:szCs w:val="24"/>
        </w:rPr>
        <w:t xml:space="preserve">. Prior to propensity score matching, the patients who initiated SGLT-2i were younger, had slightly less prevalent heart failure, stroke and CKD at baseline and greater use of statins, </w:t>
      </w:r>
      <w:proofErr w:type="spellStart"/>
      <w:r w:rsidRPr="006872BF">
        <w:rPr>
          <w:szCs w:val="24"/>
        </w:rPr>
        <w:t>ACEis</w:t>
      </w:r>
      <w:proofErr w:type="spellEnd"/>
      <w:r w:rsidRPr="006872BF">
        <w:rPr>
          <w:szCs w:val="24"/>
        </w:rPr>
        <w:t xml:space="preserve"> and low-ceiling diuretics. Patients initiated on SGLT-2i were also more likely to be receiving other glucose-lowering drugs at baseline</w:t>
      </w:r>
      <w:r>
        <w:rPr>
          <w:szCs w:val="24"/>
        </w:rPr>
        <w:t>.</w:t>
      </w:r>
      <w:r w:rsidRPr="006872BF">
        <w:rPr>
          <w:szCs w:val="24"/>
        </w:rPr>
        <w:t xml:space="preserve"> </w:t>
      </w:r>
    </w:p>
    <w:p w:rsidR="006D75A3" w:rsidRPr="006872BF" w:rsidRDefault="006D75A3" w:rsidP="006D75A3">
      <w:pPr>
        <w:spacing w:after="0" w:line="240" w:lineRule="auto"/>
        <w:rPr>
          <w:szCs w:val="24"/>
        </w:rPr>
      </w:pPr>
    </w:p>
    <w:p w:rsidR="006D75A3" w:rsidRPr="006872BF" w:rsidRDefault="006D75A3" w:rsidP="006D75A3">
      <w:pPr>
        <w:spacing w:after="0" w:line="240" w:lineRule="auto"/>
        <w:rPr>
          <w:szCs w:val="24"/>
        </w:rPr>
      </w:pPr>
      <w:r w:rsidRPr="006872BF">
        <w:rPr>
          <w:szCs w:val="24"/>
        </w:rPr>
        <w:t xml:space="preserve">Following propensity score matching, there were 440,599 new initiators of SGLT-2i and 440,599 new initiators of </w:t>
      </w:r>
      <w:proofErr w:type="spellStart"/>
      <w:r w:rsidRPr="006872BF">
        <w:rPr>
          <w:szCs w:val="24"/>
        </w:rPr>
        <w:t>oGLDs</w:t>
      </w:r>
      <w:proofErr w:type="spellEnd"/>
      <w:r w:rsidRPr="006872BF">
        <w:rPr>
          <w:szCs w:val="24"/>
        </w:rPr>
        <w:t xml:space="preserve"> and the baseline characteristics were well-balanced. In both groups, the mean age was 58 years, 44% were women, and 31% had established CVD; 65% of patients received statins, 69% antihypertensive medications, and 76% metformin. </w:t>
      </w:r>
      <w:r>
        <w:rPr>
          <w:szCs w:val="24"/>
        </w:rPr>
        <w:t>D</w:t>
      </w:r>
      <w:r w:rsidRPr="006872BF">
        <w:rPr>
          <w:szCs w:val="24"/>
        </w:rPr>
        <w:t xml:space="preserve">apagliflozin contributed 60% of total exposure time, followed by canagliflozin (20%) and empagliflozin (14%), with other SGLT-2i providing smaller contributions. </w:t>
      </w:r>
      <w:r>
        <w:rPr>
          <w:szCs w:val="24"/>
        </w:rPr>
        <w:t>T</w:t>
      </w:r>
      <w:r w:rsidRPr="006872BF">
        <w:rPr>
          <w:szCs w:val="24"/>
        </w:rPr>
        <w:t xml:space="preserve">he DPP-4i class contributed to 25% of the </w:t>
      </w:r>
      <w:proofErr w:type="spellStart"/>
      <w:r w:rsidRPr="006872BF">
        <w:rPr>
          <w:szCs w:val="24"/>
        </w:rPr>
        <w:t>oGLD</w:t>
      </w:r>
      <w:proofErr w:type="spellEnd"/>
      <w:r w:rsidRPr="006872BF">
        <w:rPr>
          <w:szCs w:val="24"/>
        </w:rPr>
        <w:t xml:space="preserve"> exposure time, followed by insulin (18%), SUs (18%), </w:t>
      </w:r>
      <w:r w:rsidRPr="006872BF">
        <w:rPr>
          <w:szCs w:val="24"/>
        </w:rPr>
        <w:lastRenderedPageBreak/>
        <w:t xml:space="preserve">metformin (13%) and TZDs (11%); other classes (GLP-1 RA, acarbose and </w:t>
      </w:r>
      <w:proofErr w:type="spellStart"/>
      <w:r w:rsidRPr="006872BF">
        <w:rPr>
          <w:szCs w:val="24"/>
        </w:rPr>
        <w:t>metiglinides</w:t>
      </w:r>
      <w:proofErr w:type="spellEnd"/>
      <w:r w:rsidRPr="006872BF">
        <w:rPr>
          <w:szCs w:val="24"/>
        </w:rPr>
        <w:t>) contributed &lt;10% each and made up the remainder.</w:t>
      </w:r>
    </w:p>
    <w:p w:rsidR="006D75A3" w:rsidRPr="006872BF" w:rsidRDefault="006D75A3" w:rsidP="006D75A3">
      <w:pPr>
        <w:spacing w:after="0" w:line="240" w:lineRule="auto"/>
        <w:rPr>
          <w:szCs w:val="24"/>
        </w:rPr>
      </w:pPr>
    </w:p>
    <w:p w:rsidR="006D75A3" w:rsidRPr="006872BF" w:rsidRDefault="006D75A3" w:rsidP="006D75A3">
      <w:pPr>
        <w:spacing w:after="0" w:line="240" w:lineRule="auto"/>
        <w:rPr>
          <w:szCs w:val="24"/>
        </w:rPr>
      </w:pPr>
      <w:r w:rsidRPr="006872BF">
        <w:rPr>
          <w:szCs w:val="24"/>
        </w:rPr>
        <w:t>For the countries included in this study, the proportion of new initiations that were SGLT-2i increased consistently over time; in North America, the proportion increased until 2015, with a slight decrease thereafter. When all countries included in this analysis were considered together, the proportion of new SGLT-2i initiation increased from around 3% of all new initiations in 2013, to about 15% in 2017.</w:t>
      </w:r>
    </w:p>
    <w:p w:rsidR="006D75A3" w:rsidRPr="006872BF" w:rsidRDefault="006D75A3" w:rsidP="006D75A3">
      <w:pPr>
        <w:spacing w:after="0" w:line="240" w:lineRule="auto"/>
        <w:rPr>
          <w:b/>
          <w:szCs w:val="24"/>
        </w:rPr>
      </w:pPr>
    </w:p>
    <w:p w:rsidR="006D75A3" w:rsidRPr="006872BF" w:rsidRDefault="006D75A3" w:rsidP="006D75A3">
      <w:pPr>
        <w:spacing w:after="0" w:line="240" w:lineRule="auto"/>
        <w:rPr>
          <w:b/>
          <w:szCs w:val="24"/>
        </w:rPr>
      </w:pPr>
      <w:r w:rsidRPr="006872BF">
        <w:rPr>
          <w:b/>
          <w:szCs w:val="24"/>
        </w:rPr>
        <w:t>Outcomes</w:t>
      </w:r>
    </w:p>
    <w:p w:rsidR="006D75A3" w:rsidRPr="006872BF" w:rsidRDefault="006D75A3" w:rsidP="006D75A3">
      <w:pPr>
        <w:spacing w:after="0" w:line="240" w:lineRule="auto"/>
        <w:rPr>
          <w:szCs w:val="24"/>
        </w:rPr>
      </w:pPr>
      <w:r w:rsidRPr="006872BF">
        <w:rPr>
          <w:szCs w:val="24"/>
        </w:rPr>
        <w:t xml:space="preserve">The mean follow-up time for the primary ITT analysis was 396 days for SGLT-2i and 406 days for </w:t>
      </w:r>
      <w:proofErr w:type="spellStart"/>
      <w:r w:rsidRPr="006872BF">
        <w:rPr>
          <w:szCs w:val="24"/>
        </w:rPr>
        <w:t>oGLDs</w:t>
      </w:r>
      <w:proofErr w:type="spellEnd"/>
      <w:r w:rsidRPr="006872BF">
        <w:rPr>
          <w:szCs w:val="24"/>
        </w:rPr>
        <w:t xml:space="preserve"> initiations.</w:t>
      </w:r>
    </w:p>
    <w:p w:rsidR="006D75A3" w:rsidRPr="006872BF" w:rsidRDefault="006D75A3" w:rsidP="006D75A3">
      <w:pPr>
        <w:spacing w:after="0" w:line="240" w:lineRule="auto"/>
        <w:rPr>
          <w:szCs w:val="24"/>
        </w:rPr>
      </w:pPr>
    </w:p>
    <w:p w:rsidR="006D75A3" w:rsidRPr="006872BF" w:rsidRDefault="006D75A3" w:rsidP="006D75A3">
      <w:pPr>
        <w:spacing w:after="0" w:line="240" w:lineRule="auto"/>
        <w:rPr>
          <w:szCs w:val="24"/>
        </w:rPr>
      </w:pPr>
      <w:r w:rsidRPr="006872BF">
        <w:rPr>
          <w:szCs w:val="24"/>
        </w:rPr>
        <w:t xml:space="preserve">During 914,208 patient-years of follow-up there were 9121 events of HHF (3913 in the SGLT-2i group and 5208 in the </w:t>
      </w:r>
      <w:proofErr w:type="spellStart"/>
      <w:r w:rsidRPr="006872BF">
        <w:rPr>
          <w:szCs w:val="24"/>
        </w:rPr>
        <w:t>oGLD</w:t>
      </w:r>
      <w:proofErr w:type="spellEnd"/>
      <w:r w:rsidRPr="006872BF">
        <w:rPr>
          <w:szCs w:val="24"/>
        </w:rPr>
        <w:t xml:space="preserve"> group). Initiation of SGLT-2i was associated with a lower risk of HHF (ITT-unadjusted pooled HR: 0.66, 95%CI: 0.58–0.75; p&lt;0.001</w:t>
      </w:r>
      <w:r>
        <w:rPr>
          <w:szCs w:val="24"/>
        </w:rPr>
        <w:t>)</w:t>
      </w:r>
      <w:r w:rsidRPr="006872BF">
        <w:rPr>
          <w:szCs w:val="24"/>
        </w:rPr>
        <w:t>. While there was heterogeneity, there were consistent associations between use of SGLT</w:t>
      </w:r>
      <w:r>
        <w:rPr>
          <w:szCs w:val="24"/>
        </w:rPr>
        <w:t>-</w:t>
      </w:r>
      <w:r w:rsidRPr="006872BF">
        <w:rPr>
          <w:szCs w:val="24"/>
        </w:rPr>
        <w:t xml:space="preserve">2i and lower risk of heart failure in all of the 13 countries. </w:t>
      </w:r>
    </w:p>
    <w:p w:rsidR="006D75A3" w:rsidRPr="006872BF" w:rsidRDefault="006D75A3" w:rsidP="006D75A3">
      <w:pPr>
        <w:spacing w:after="0" w:line="240" w:lineRule="auto"/>
        <w:rPr>
          <w:szCs w:val="24"/>
        </w:rPr>
      </w:pPr>
    </w:p>
    <w:p w:rsidR="006D75A3" w:rsidRPr="006872BF" w:rsidRDefault="006D75A3" w:rsidP="006D75A3">
      <w:pPr>
        <w:spacing w:after="0" w:line="240" w:lineRule="auto"/>
        <w:rPr>
          <w:szCs w:val="24"/>
        </w:rPr>
      </w:pPr>
      <w:r w:rsidRPr="006872BF">
        <w:rPr>
          <w:szCs w:val="24"/>
        </w:rPr>
        <w:t xml:space="preserve">During 968,452 patient-years of follow-up, there were 10,252 events of </w:t>
      </w:r>
      <w:r w:rsidRPr="006872BF">
        <w:rPr>
          <w:bCs/>
          <w:szCs w:val="24"/>
        </w:rPr>
        <w:t>all-cause death</w:t>
      </w:r>
      <w:r w:rsidRPr="006872BF">
        <w:rPr>
          <w:szCs w:val="24"/>
        </w:rPr>
        <w:t xml:space="preserve"> (3712 in the SGLT-2i group and 6540 in the </w:t>
      </w:r>
      <w:proofErr w:type="spellStart"/>
      <w:r w:rsidRPr="006872BF">
        <w:rPr>
          <w:szCs w:val="24"/>
        </w:rPr>
        <w:t>oGLD</w:t>
      </w:r>
      <w:proofErr w:type="spellEnd"/>
      <w:r w:rsidRPr="006872BF">
        <w:rPr>
          <w:szCs w:val="24"/>
        </w:rPr>
        <w:t xml:space="preserve"> group). Initiation of SGLT-2i was associated with a lower risk of </w:t>
      </w:r>
      <w:r w:rsidRPr="006872BF">
        <w:rPr>
          <w:bCs/>
          <w:szCs w:val="24"/>
        </w:rPr>
        <w:t>all-cause death</w:t>
      </w:r>
      <w:r w:rsidRPr="006872BF">
        <w:rPr>
          <w:szCs w:val="24"/>
        </w:rPr>
        <w:t xml:space="preserve"> (ITT-unadjusted pooled HR: 0.52, 95%CI: 0.45–0.60; p&lt;0.001</w:t>
      </w:r>
      <w:r>
        <w:rPr>
          <w:szCs w:val="24"/>
        </w:rPr>
        <w:t xml:space="preserve">). </w:t>
      </w:r>
      <w:r w:rsidRPr="006872BF">
        <w:rPr>
          <w:szCs w:val="24"/>
        </w:rPr>
        <w:t>While there was heterogeneity, there were consistent associations between use of SGLT</w:t>
      </w:r>
      <w:r>
        <w:rPr>
          <w:szCs w:val="24"/>
        </w:rPr>
        <w:t>-</w:t>
      </w:r>
      <w:r w:rsidRPr="006872BF">
        <w:rPr>
          <w:szCs w:val="24"/>
        </w:rPr>
        <w:t xml:space="preserve">2i and lower risk of </w:t>
      </w:r>
      <w:r w:rsidRPr="006872BF">
        <w:rPr>
          <w:bCs/>
          <w:szCs w:val="24"/>
        </w:rPr>
        <w:t>all-cause death</w:t>
      </w:r>
      <w:r w:rsidRPr="006872BF">
        <w:rPr>
          <w:szCs w:val="24"/>
        </w:rPr>
        <w:t xml:space="preserve"> in all of the 13 countries. </w:t>
      </w:r>
    </w:p>
    <w:p w:rsidR="006D75A3" w:rsidRPr="006872BF" w:rsidRDefault="006D75A3" w:rsidP="006D75A3">
      <w:pPr>
        <w:spacing w:after="0" w:line="240" w:lineRule="auto"/>
        <w:rPr>
          <w:szCs w:val="24"/>
        </w:rPr>
      </w:pPr>
    </w:p>
    <w:p w:rsidR="006D75A3" w:rsidRPr="006872BF" w:rsidRDefault="006D75A3" w:rsidP="006D75A3">
      <w:pPr>
        <w:spacing w:after="0" w:line="240" w:lineRule="auto"/>
        <w:rPr>
          <w:szCs w:val="24"/>
        </w:rPr>
      </w:pPr>
      <w:r w:rsidRPr="006872BF">
        <w:rPr>
          <w:szCs w:val="24"/>
        </w:rPr>
        <w:t xml:space="preserve">For the composite outcome of HHF or </w:t>
      </w:r>
      <w:r w:rsidRPr="006872BF">
        <w:rPr>
          <w:bCs/>
          <w:szCs w:val="24"/>
        </w:rPr>
        <w:t>all-cause death</w:t>
      </w:r>
      <w:r w:rsidRPr="006872BF">
        <w:rPr>
          <w:szCs w:val="24"/>
        </w:rPr>
        <w:t xml:space="preserve">, there were 17,207 events (6932 in the SGLT-2i group and 10275 in the </w:t>
      </w:r>
      <w:proofErr w:type="spellStart"/>
      <w:r w:rsidRPr="006872BF">
        <w:rPr>
          <w:szCs w:val="24"/>
        </w:rPr>
        <w:t>oGLD</w:t>
      </w:r>
      <w:proofErr w:type="spellEnd"/>
      <w:r w:rsidRPr="006872BF">
        <w:rPr>
          <w:szCs w:val="24"/>
        </w:rPr>
        <w:t xml:space="preserve"> group) over 898,869 patient-years of follow-up. Initiation of SGLT-2i was associated with a lower risk of the composite of HHF or </w:t>
      </w:r>
      <w:r w:rsidRPr="006872BF">
        <w:rPr>
          <w:bCs/>
          <w:szCs w:val="24"/>
        </w:rPr>
        <w:t>all-cause death</w:t>
      </w:r>
      <w:r w:rsidRPr="006872BF">
        <w:rPr>
          <w:szCs w:val="24"/>
        </w:rPr>
        <w:t xml:space="preserve"> (ITT-unadjusted pooled HR: 0.60, 95%CI: 0.53–0.68; p&lt;0.001). While there was heterogeneity, there were consistent associations between use of SGLT</w:t>
      </w:r>
      <w:r>
        <w:rPr>
          <w:szCs w:val="24"/>
        </w:rPr>
        <w:t>-</w:t>
      </w:r>
      <w:r w:rsidRPr="006872BF">
        <w:rPr>
          <w:szCs w:val="24"/>
        </w:rPr>
        <w:t xml:space="preserve">2i and lower risk of HHF or </w:t>
      </w:r>
      <w:r w:rsidRPr="006872BF">
        <w:rPr>
          <w:bCs/>
          <w:szCs w:val="24"/>
        </w:rPr>
        <w:t>all-cause death</w:t>
      </w:r>
      <w:r w:rsidRPr="006872BF">
        <w:rPr>
          <w:szCs w:val="24"/>
        </w:rPr>
        <w:t xml:space="preserve"> in all of the 13 countries.</w:t>
      </w:r>
    </w:p>
    <w:p w:rsidR="006D75A3" w:rsidRPr="006872BF" w:rsidRDefault="006D75A3" w:rsidP="006D75A3">
      <w:pPr>
        <w:spacing w:after="0" w:line="240" w:lineRule="auto"/>
        <w:rPr>
          <w:szCs w:val="24"/>
        </w:rPr>
      </w:pPr>
    </w:p>
    <w:p w:rsidR="006D75A3" w:rsidRPr="006872BF" w:rsidRDefault="006D75A3" w:rsidP="006D75A3">
      <w:pPr>
        <w:spacing w:after="0" w:line="240" w:lineRule="auto"/>
        <w:rPr>
          <w:szCs w:val="24"/>
        </w:rPr>
      </w:pPr>
      <w:r w:rsidRPr="006872BF">
        <w:rPr>
          <w:szCs w:val="24"/>
        </w:rPr>
        <w:t xml:space="preserve">For myocardial infarction, there were 4880 events (2203 in the SGLT-2i group and 2677 in the </w:t>
      </w:r>
      <w:proofErr w:type="spellStart"/>
      <w:r w:rsidRPr="006872BF">
        <w:rPr>
          <w:szCs w:val="24"/>
        </w:rPr>
        <w:t>oGLD</w:t>
      </w:r>
      <w:proofErr w:type="spellEnd"/>
      <w:r w:rsidRPr="006872BF">
        <w:rPr>
          <w:szCs w:val="24"/>
        </w:rPr>
        <w:t xml:space="preserve"> group) over 916,305 patient-years of follow-up: initiation of SGLT-2i was associated with a lower risk of myocardial infarction (ITT-unadjusted pooled HR: 0.85, 95%CI: 0.78–0.92; p&lt;0.001</w:t>
      </w:r>
      <w:r>
        <w:rPr>
          <w:szCs w:val="24"/>
        </w:rPr>
        <w:t>)</w:t>
      </w:r>
      <w:r w:rsidRPr="006872BF">
        <w:rPr>
          <w:szCs w:val="24"/>
        </w:rPr>
        <w:t xml:space="preserve">. </w:t>
      </w:r>
    </w:p>
    <w:p w:rsidR="006D75A3" w:rsidRPr="006872BF" w:rsidRDefault="006D75A3" w:rsidP="006D75A3">
      <w:pPr>
        <w:spacing w:after="0" w:line="240" w:lineRule="auto"/>
        <w:rPr>
          <w:szCs w:val="24"/>
        </w:rPr>
      </w:pPr>
    </w:p>
    <w:p w:rsidR="006D75A3" w:rsidRPr="006872BF" w:rsidRDefault="006D75A3" w:rsidP="006D75A3">
      <w:pPr>
        <w:spacing w:after="0" w:line="240" w:lineRule="auto"/>
        <w:rPr>
          <w:szCs w:val="24"/>
        </w:rPr>
      </w:pPr>
      <w:r w:rsidRPr="006872BF">
        <w:rPr>
          <w:szCs w:val="24"/>
        </w:rPr>
        <w:t xml:space="preserve">For stroke, there were 9111 events (3981 in the SGLT-2i group and 5130 in the </w:t>
      </w:r>
      <w:proofErr w:type="spellStart"/>
      <w:r w:rsidRPr="006872BF">
        <w:rPr>
          <w:szCs w:val="24"/>
        </w:rPr>
        <w:t>oGLD</w:t>
      </w:r>
      <w:proofErr w:type="spellEnd"/>
      <w:r w:rsidRPr="006872BF">
        <w:rPr>
          <w:szCs w:val="24"/>
        </w:rPr>
        <w:t xml:space="preserve"> group) over 913,571 patient-years of follow-up: initiation of SGLT-2i was associated with a lower risk of stroke (ITT-unadjusted pooled HR: 0.78, 95%CI: 0.72–0.85; p&lt;0.001</w:t>
      </w:r>
      <w:r>
        <w:rPr>
          <w:szCs w:val="24"/>
        </w:rPr>
        <w:t>)</w:t>
      </w:r>
      <w:r w:rsidRPr="006872BF">
        <w:rPr>
          <w:szCs w:val="24"/>
        </w:rPr>
        <w:t>. There was no evidence of treatment heterogeneity across countries for the outcomes of myocardial infarction or stroke (p for interaction &gt;0.07).</w:t>
      </w:r>
    </w:p>
    <w:p w:rsidR="006D75A3" w:rsidRPr="006872BF" w:rsidRDefault="006D75A3" w:rsidP="006D75A3">
      <w:pPr>
        <w:spacing w:after="0" w:line="240" w:lineRule="auto"/>
        <w:rPr>
          <w:szCs w:val="24"/>
        </w:rPr>
      </w:pPr>
    </w:p>
    <w:p w:rsidR="006D75A3" w:rsidRPr="006872BF" w:rsidRDefault="006D75A3" w:rsidP="006D75A3">
      <w:pPr>
        <w:spacing w:after="0" w:line="240" w:lineRule="auto"/>
        <w:rPr>
          <w:b/>
          <w:szCs w:val="24"/>
        </w:rPr>
      </w:pPr>
      <w:r w:rsidRPr="006872BF">
        <w:rPr>
          <w:b/>
          <w:szCs w:val="24"/>
        </w:rPr>
        <w:t>Subgroup and sensitivity analyses</w:t>
      </w:r>
    </w:p>
    <w:p w:rsidR="006D75A3" w:rsidRPr="002B4CE0" w:rsidRDefault="006D75A3" w:rsidP="006D75A3">
      <w:pPr>
        <w:spacing w:after="0" w:line="240" w:lineRule="auto"/>
        <w:rPr>
          <w:szCs w:val="24"/>
        </w:rPr>
      </w:pPr>
      <w:r w:rsidRPr="006872BF">
        <w:rPr>
          <w:szCs w:val="24"/>
        </w:rPr>
        <w:t xml:space="preserve">Analyses of data stratified by baseline characteristics continued to favour SGLT-2i vs </w:t>
      </w:r>
      <w:proofErr w:type="spellStart"/>
      <w:r w:rsidRPr="006872BF">
        <w:rPr>
          <w:szCs w:val="24"/>
        </w:rPr>
        <w:t>oGLD</w:t>
      </w:r>
      <w:proofErr w:type="spellEnd"/>
      <w:r w:rsidRPr="006872BF">
        <w:rPr>
          <w:szCs w:val="24"/>
        </w:rPr>
        <w:t xml:space="preserve"> for the outcomes of HHF, </w:t>
      </w:r>
      <w:r w:rsidRPr="006872BF">
        <w:rPr>
          <w:bCs/>
          <w:szCs w:val="24"/>
        </w:rPr>
        <w:t>all-cause death</w:t>
      </w:r>
      <w:r w:rsidRPr="006872BF">
        <w:rPr>
          <w:szCs w:val="24"/>
        </w:rPr>
        <w:t xml:space="preserve">, composite of HHF or </w:t>
      </w:r>
      <w:r w:rsidRPr="006872BF">
        <w:rPr>
          <w:bCs/>
          <w:szCs w:val="24"/>
        </w:rPr>
        <w:t>all-cause death</w:t>
      </w:r>
      <w:r w:rsidRPr="006872BF">
        <w:rPr>
          <w:szCs w:val="24"/>
        </w:rPr>
        <w:t xml:space="preserve">, myocardial </w:t>
      </w:r>
      <w:r w:rsidRPr="002B4CE0">
        <w:rPr>
          <w:szCs w:val="24"/>
        </w:rPr>
        <w:lastRenderedPageBreak/>
        <w:t>infarction and stroke across all subgroups, with very few significant interaction</w:t>
      </w:r>
      <w:r>
        <w:rPr>
          <w:szCs w:val="24"/>
        </w:rPr>
        <w:t>s</w:t>
      </w:r>
      <w:r w:rsidRPr="002B4CE0">
        <w:rPr>
          <w:szCs w:val="24"/>
        </w:rPr>
        <w:t>. Findings similar to the primary analyses were seen upon multivariable adjustment and in the on-treatment analyses.</w:t>
      </w:r>
    </w:p>
    <w:p w:rsidR="006D75A3" w:rsidRDefault="006D75A3" w:rsidP="006D75A3">
      <w:pPr>
        <w:pStyle w:val="A-Unassigned"/>
        <w:outlineLvl w:val="0"/>
      </w:pPr>
      <w:r>
        <w:t>Conclusion</w:t>
      </w:r>
    </w:p>
    <w:p w:rsidR="00EA32BB" w:rsidRDefault="006D75A3">
      <w:r>
        <w:t>T</w:t>
      </w:r>
      <w:r w:rsidRPr="006872BF">
        <w:t>he initiation of SGLT-2i as compared with other glucose-lowering drugs in routine clinical practice is associated with decreased risk of heart failure, all-cause death, myocardial infarction and stroke. The results of this large comparative effectiveness study with a broader, globally diverse population complement and extend the findings of completed randomized controlled trials.</w:t>
      </w:r>
      <w:bookmarkEnd w:id="0"/>
    </w:p>
    <w:sectPr w:rsidR="00EA32BB" w:rsidSect="003613E2">
      <w:headerReference w:type="even" r:id="rId13"/>
      <w:headerReference w:type="default" r:id="rId14"/>
      <w:footerReference w:type="default" r:id="rId15"/>
      <w:pgSz w:w="12242" w:h="15842" w:code="1"/>
      <w:pgMar w:top="1701" w:right="1440" w:bottom="1440" w:left="1701" w:header="731" w:footer="73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Condensed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9E" w:rsidRDefault="00BC3D4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B28" w:rsidRDefault="00BC3D40" w:rsidP="00793B28">
    <w:pPr>
      <w:pStyle w:val="NormalWeb"/>
      <w:spacing w:before="0" w:beforeAutospacing="0" w:after="0" w:afterAutospacing="0"/>
      <w:rPr>
        <w:color w:val="000000"/>
        <w:sz w:val="16"/>
        <w:szCs w:val="16"/>
        <w:lang w:val="en-GB"/>
      </w:rPr>
    </w:pPr>
    <w:r w:rsidRPr="00793B28">
      <w:rPr>
        <w:color w:val="000000"/>
        <w:sz w:val="16"/>
        <w:szCs w:val="16"/>
        <w:lang w:val="en-GB"/>
      </w:rPr>
      <w:t>Clinical Study Report (CSR) S</w:t>
    </w:r>
    <w:r w:rsidRPr="00793B28">
      <w:rPr>
        <w:color w:val="000000"/>
        <w:sz w:val="16"/>
        <w:szCs w:val="16"/>
        <w:lang w:val="en-GB"/>
      </w:rPr>
      <w:t>ynopsis, ANGEL</w:t>
    </w:r>
  </w:p>
  <w:p w:rsidR="00793B28" w:rsidRDefault="00BC3D40" w:rsidP="00793B28">
    <w:pPr>
      <w:pStyle w:val="NormalWeb"/>
      <w:spacing w:before="0" w:beforeAutospacing="0" w:after="0" w:afterAutospacing="0"/>
      <w:rPr>
        <w:color w:val="000000"/>
        <w:sz w:val="16"/>
        <w:szCs w:val="16"/>
        <w:lang w:val="en-GB"/>
      </w:rPr>
    </w:pPr>
    <w:r>
      <w:rPr>
        <w:color w:val="000000"/>
        <w:sz w:val="16"/>
        <w:szCs w:val="16"/>
        <w:lang w:val="en-GB"/>
      </w:rPr>
      <w:t>Version 5.0</w:t>
    </w:r>
  </w:p>
  <w:p w:rsidR="00793B28" w:rsidRDefault="00BC3D40" w:rsidP="00793B28">
    <w:pPr>
      <w:pStyle w:val="NormalWeb"/>
      <w:spacing w:before="0" w:beforeAutospacing="0" w:after="0" w:afterAutospacing="0"/>
      <w:rPr>
        <w:color w:val="000000"/>
        <w:sz w:val="16"/>
        <w:szCs w:val="16"/>
        <w:lang w:val="en-GB"/>
      </w:rPr>
    </w:pPr>
    <w:r>
      <w:rPr>
        <w:color w:val="000000"/>
        <w:sz w:val="16"/>
        <w:szCs w:val="16"/>
        <w:lang w:val="en-GB"/>
      </w:rPr>
      <w:t xml:space="preserve">Form Doc Number: </w:t>
    </w:r>
    <w:r w:rsidRPr="00793B28">
      <w:rPr>
        <w:color w:val="000000"/>
        <w:sz w:val="16"/>
        <w:szCs w:val="16"/>
        <w:lang w:val="en-GB"/>
      </w:rPr>
      <w:t>LDMS_001_00047825</w:t>
    </w:r>
  </w:p>
  <w:p w:rsidR="00793B28" w:rsidRPr="00793B28" w:rsidRDefault="00BC3D40" w:rsidP="00793B28">
    <w:pPr>
      <w:pStyle w:val="NormalWeb"/>
      <w:spacing w:before="0" w:beforeAutospacing="0" w:after="0" w:afterAutospacing="0"/>
      <w:rPr>
        <w:color w:val="000000"/>
        <w:sz w:val="16"/>
        <w:szCs w:val="16"/>
        <w:lang w:val="en-GB"/>
      </w:rPr>
    </w:pPr>
    <w:r>
      <w:rPr>
        <w:color w:val="000000"/>
        <w:sz w:val="16"/>
        <w:szCs w:val="16"/>
        <w:lang w:val="en-GB"/>
      </w:rPr>
      <w:t>Parent Doc Number: LDMS_001_00071171</w:t>
    </w:r>
  </w:p>
  <w:p w:rsidR="0006009E" w:rsidRDefault="00BC3D40">
    <w:pPr>
      <w:pStyle w:val="Footer"/>
      <w:rPr>
        <w:rStyle w:val="Z-Red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9E" w:rsidRDefault="00BC3D40">
    <w:pPr>
      <w:pStyle w:val="Footer"/>
      <w:tabs>
        <w:tab w:val="center" w:pos="45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9E" w:rsidRDefault="00BC3D40">
    <w:pPr>
      <w:pStyle w:val="Header"/>
    </w:pPr>
    <w:r>
      <w:fldChar w:fldCharType="begin"/>
    </w:r>
    <w:r>
      <w:instrText xml:space="preserve"> STYLEREF "z-document name" \* MERGEFORMAT </w:instrText>
    </w:r>
    <w:r>
      <w:fldChar w:fldCharType="separate"/>
    </w:r>
    <w:r>
      <w:rPr>
        <w:noProof/>
      </w:rPr>
      <w:t>Clinical Study Report Synopsis</w:t>
    </w:r>
    <w:r>
      <w:fldChar w:fldCharType="end"/>
    </w:r>
  </w:p>
  <w:p w:rsidR="0006009E" w:rsidRDefault="00BC3D40">
    <w:pPr>
      <w:pStyle w:val="Header"/>
    </w:pPr>
    <w:r>
      <w:t xml:space="preserve">Drug Substance </w:t>
    </w:r>
    <w:r>
      <w:fldChar w:fldCharType="begin"/>
    </w:r>
    <w:r>
      <w:instrText xml:space="preserve"> STYLEREF</w:instrText>
    </w:r>
    <w:r>
      <w:instrText xml:space="preserve"> Z-DrugSubstance \* MERGEFORMAT </w:instrText>
    </w:r>
    <w:r>
      <w:fldChar w:fldCharType="separate"/>
    </w:r>
    <w:r w:rsidRPr="00F44ADA">
      <w:rPr>
        <w:b/>
        <w:bCs/>
        <w:noProof/>
        <w:lang w:val="en-US"/>
      </w:rPr>
      <w:t>Dapagliflozin</w:t>
    </w:r>
    <w:r>
      <w:fldChar w:fldCharType="end"/>
    </w:r>
  </w:p>
  <w:p w:rsidR="0006009E" w:rsidRDefault="00BC3D40">
    <w:pPr>
      <w:pStyle w:val="Header"/>
    </w:pPr>
    <w:r>
      <w:t xml:space="preserve">Study Code </w:t>
    </w:r>
    <w:r>
      <w:fldChar w:fldCharType="begin"/>
    </w:r>
    <w:r>
      <w:instrText xml:space="preserve"> STYLEREF Z-StudyCode \* MERGEFORMAT </w:instrText>
    </w:r>
    <w:r>
      <w:fldChar w:fldCharType="separate"/>
    </w:r>
    <w:r w:rsidRPr="00F44ADA">
      <w:rPr>
        <w:b/>
        <w:bCs/>
        <w:noProof/>
        <w:lang w:val="en-US"/>
      </w:rPr>
      <w:t>D16</w:t>
    </w:r>
    <w:r w:rsidRPr="00F44ADA">
      <w:rPr>
        <w:b/>
        <w:bCs/>
        <w:noProof/>
        <w:lang w:val="en-US"/>
      </w:rPr>
      <w:t>90R00015</w:t>
    </w:r>
    <w:r>
      <w:fldChar w:fldCharType="end"/>
    </w:r>
  </w:p>
  <w:p w:rsidR="0006009E" w:rsidRDefault="00BC3D40">
    <w:pPr>
      <w:pStyle w:val="Header"/>
    </w:pPr>
    <w:r>
      <w:t xml:space="preserve">Edition Number </w:t>
    </w:r>
    <w:r>
      <w:fldChar w:fldCharType="begin"/>
    </w:r>
    <w:r>
      <w:instrText xml:space="preserve"> STYLEREF Z-EditionNo \* MERGEFORMAT </w:instrText>
    </w:r>
    <w:r>
      <w:fldChar w:fldCharType="separate"/>
    </w:r>
    <w:r w:rsidRPr="00F44ADA">
      <w:rPr>
        <w:b/>
        <w:bCs/>
        <w:noProof/>
        <w:lang w:val="en-US"/>
      </w:rPr>
      <w:t>1.0</w:t>
    </w:r>
    <w:r>
      <w:fldChar w:fldCharType="end"/>
    </w:r>
  </w:p>
  <w:p w:rsidR="0006009E" w:rsidRDefault="00BC3D40">
    <w:pPr>
      <w:pStyle w:val="Header"/>
    </w:pPr>
    <w:r>
      <w:t xml:space="preserve">Date </w:t>
    </w:r>
    <w:r>
      <w:fldChar w:fldCharType="begin"/>
    </w:r>
    <w:r>
      <w:instrText xml:space="preserve"> STYLEREF Z-Date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9E" w:rsidRDefault="00BC3D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9E" w:rsidRDefault="00BC3D40">
    <w:pPr>
      <w:pStyle w:val="Header"/>
    </w:pPr>
    <w:r>
      <w:fldChar w:fldCharType="begin"/>
    </w:r>
    <w:r>
      <w:instrText xml:space="preserve"> </w:instrText>
    </w:r>
    <w:r>
      <w:instrText xml:space="preserve">STYLEREF "z-document name" \* MERGEFORMAT </w:instrText>
    </w:r>
    <w:r>
      <w:fldChar w:fldCharType="separate"/>
    </w:r>
    <w:r>
      <w:rPr>
        <w:noProof/>
      </w:rPr>
      <w:t>Clinical Study Report Synopsis</w:t>
    </w:r>
    <w:r>
      <w:fldChar w:fldCharType="end"/>
    </w:r>
  </w:p>
  <w:p w:rsidR="0006009E" w:rsidRDefault="00BC3D40">
    <w:pPr>
      <w:pStyle w:val="Header"/>
    </w:pPr>
    <w:r>
      <w:t xml:space="preserve">Drug Substance </w:t>
    </w:r>
    <w:r>
      <w:fldChar w:fldCharType="begin"/>
    </w:r>
    <w:r>
      <w:instrText xml:space="preserve"> STYLEREF Z-DrugSubstance \* MERGEFORMAT </w:instrText>
    </w:r>
    <w:r>
      <w:fldChar w:fldCharType="separate"/>
    </w:r>
    <w:r>
      <w:rPr>
        <w:noProof/>
      </w:rPr>
      <w:t>Dapagliflozin</w:t>
    </w:r>
    <w:r>
      <w:fldChar w:fldCharType="end"/>
    </w:r>
  </w:p>
  <w:p w:rsidR="0006009E" w:rsidRDefault="00BC3D40">
    <w:pPr>
      <w:pStyle w:val="Header"/>
    </w:pPr>
    <w:r>
      <w:t xml:space="preserve">Study Code </w:t>
    </w:r>
    <w:r>
      <w:fldChar w:fldCharType="begin"/>
    </w:r>
    <w:r>
      <w:instrText xml:space="preserve"> STYLEREF Z-StudyCode \* MERGEFORMAT </w:instrText>
    </w:r>
    <w:r>
      <w:fldChar w:fldCharType="separate"/>
    </w:r>
    <w:r>
      <w:rPr>
        <w:noProof/>
      </w:rPr>
      <w:t>D1690R00015</w:t>
    </w:r>
    <w:r>
      <w:fldChar w:fldCharType="end"/>
    </w:r>
  </w:p>
  <w:p w:rsidR="0006009E" w:rsidRDefault="00BC3D40">
    <w:pPr>
      <w:pStyle w:val="Header"/>
    </w:pPr>
    <w:r>
      <w:t xml:space="preserve">Edition Number </w:t>
    </w:r>
    <w:r>
      <w:fldChar w:fldCharType="begin"/>
    </w:r>
    <w:r>
      <w:instrText xml:space="preserve"> STYLEREF Z-EditionNo \* MERG</w:instrText>
    </w:r>
    <w:r>
      <w:instrText xml:space="preserve">EFORMAT </w:instrText>
    </w:r>
    <w:r>
      <w:fldChar w:fldCharType="separate"/>
    </w:r>
    <w:r>
      <w:rPr>
        <w:noProof/>
      </w:rPr>
      <w:t>1.0</w:t>
    </w:r>
    <w:r>
      <w:fldChar w:fldCharType="end"/>
    </w:r>
  </w:p>
  <w:p w:rsidR="0006009E" w:rsidRDefault="00BC3D40">
    <w:pPr>
      <w:pStyle w:val="Header"/>
    </w:pPr>
    <w:r>
      <w:t xml:space="preserve">Date </w:t>
    </w:r>
    <w:r>
      <w:fldChar w:fldCharType="begin"/>
    </w:r>
    <w:r>
      <w:instrText xml:space="preserve"> STYLEREF Z-Date \* MERGEFORMAT </w:instrText>
    </w:r>
    <w:r>
      <w:fldChar w:fldCharType="separate"/>
    </w:r>
    <w:r>
      <w:rPr>
        <w:noProof/>
      </w:rPr>
      <w:t>15 Dec 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5C0B328"/>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F03272"/>
    <w:multiLevelType w:val="hybridMultilevel"/>
    <w:tmpl w:val="BF800FE8"/>
    <w:lvl w:ilvl="0" w:tplc="0F129D80">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E951C74"/>
    <w:multiLevelType w:val="hybridMultilevel"/>
    <w:tmpl w:val="5E4616F2"/>
    <w:lvl w:ilvl="0" w:tplc="A6967C7A">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A4D41"/>
    <w:multiLevelType w:val="hybridMultilevel"/>
    <w:tmpl w:val="F0A4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62659"/>
    <w:multiLevelType w:val="singleLevel"/>
    <w:tmpl w:val="030A11AC"/>
    <w:lvl w:ilvl="0">
      <w:start w:val="1"/>
      <w:numFmt w:val="bullet"/>
      <w:pStyle w:val="A-ListSubsidiary"/>
      <w:lvlText w:val=""/>
      <w:lvlJc w:val="left"/>
      <w:pPr>
        <w:tabs>
          <w:tab w:val="num" w:pos="1987"/>
        </w:tabs>
        <w:ind w:left="1987" w:hanging="993"/>
      </w:pPr>
      <w:rPr>
        <w:rFonts w:ascii="Symbol" w:hAnsi="Symbol" w:hint="default"/>
      </w:rPr>
    </w:lvl>
  </w:abstractNum>
  <w:abstractNum w:abstractNumId="5" w15:restartNumberingAfterBreak="0">
    <w:nsid w:val="206D214E"/>
    <w:multiLevelType w:val="singleLevel"/>
    <w:tmpl w:val="5CBC1448"/>
    <w:lvl w:ilvl="0">
      <w:start w:val="1"/>
      <w:numFmt w:val="decimal"/>
      <w:pStyle w:val="AI-ListNumber"/>
      <w:lvlText w:val="%1."/>
      <w:legacy w:legacy="1" w:legacySpace="0" w:legacyIndent="283"/>
      <w:lvlJc w:val="left"/>
      <w:pPr>
        <w:ind w:left="283" w:hanging="283"/>
      </w:pPr>
    </w:lvl>
  </w:abstractNum>
  <w:abstractNum w:abstractNumId="6" w15:restartNumberingAfterBreak="0">
    <w:nsid w:val="299B4BC3"/>
    <w:multiLevelType w:val="singleLevel"/>
    <w:tmpl w:val="B15A50C2"/>
    <w:name w:val="GEL_ListTemplateC"/>
    <w:lvl w:ilvl="0">
      <w:start w:val="1"/>
      <w:numFmt w:val="lowerRoman"/>
      <w:lvlRestart w:val="0"/>
      <w:pStyle w:val="A-Listi"/>
      <w:lvlText w:val="(%1)"/>
      <w:lvlJc w:val="left"/>
      <w:pPr>
        <w:tabs>
          <w:tab w:val="num" w:pos="994"/>
        </w:tabs>
        <w:ind w:left="994" w:hanging="994"/>
      </w:pPr>
    </w:lvl>
  </w:abstractNum>
  <w:abstractNum w:abstractNumId="7" w15:restartNumberingAfterBreak="0">
    <w:nsid w:val="30CF2FB5"/>
    <w:multiLevelType w:val="singleLevel"/>
    <w:tmpl w:val="DF684EE2"/>
    <w:name w:val="GEL_ListTemplateB"/>
    <w:lvl w:ilvl="0">
      <w:start w:val="1"/>
      <w:numFmt w:val="lowerLetter"/>
      <w:lvlRestart w:val="0"/>
      <w:pStyle w:val="A-Lista"/>
      <w:lvlText w:val="(%1)"/>
      <w:lvlJc w:val="left"/>
      <w:pPr>
        <w:tabs>
          <w:tab w:val="num" w:pos="994"/>
        </w:tabs>
        <w:ind w:left="994" w:hanging="994"/>
      </w:pPr>
    </w:lvl>
  </w:abstractNum>
  <w:abstractNum w:abstractNumId="8" w15:restartNumberingAfterBreak="0">
    <w:nsid w:val="34253699"/>
    <w:multiLevelType w:val="hybridMultilevel"/>
    <w:tmpl w:val="11B6C56C"/>
    <w:lvl w:ilvl="0" w:tplc="32741BCC">
      <w:start w:val="1"/>
      <w:numFmt w:val="decimal"/>
      <w:lvlText w:val="%1)"/>
      <w:lvlJc w:val="left"/>
      <w:pPr>
        <w:ind w:left="720" w:hanging="360"/>
      </w:pPr>
      <w:rPr>
        <w:rFonts w:ascii="Times New Roman" w:eastAsia="Times New Roman" w:hAnsi="Times New Roman" w:cs="Times New Roman"/>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445FAF"/>
    <w:multiLevelType w:val="singleLevel"/>
    <w:tmpl w:val="DB2A6048"/>
    <w:lvl w:ilvl="0">
      <w:start w:val="1"/>
      <w:numFmt w:val="bullet"/>
      <w:pStyle w:val="A-ListBullet"/>
      <w:lvlText w:val=""/>
      <w:lvlJc w:val="left"/>
      <w:pPr>
        <w:tabs>
          <w:tab w:val="num" w:pos="994"/>
        </w:tabs>
        <w:ind w:left="994" w:hanging="994"/>
      </w:pPr>
      <w:rPr>
        <w:rFonts w:ascii="Symbol" w:hAnsi="Symbol" w:hint="default"/>
      </w:rPr>
    </w:lvl>
  </w:abstractNum>
  <w:abstractNum w:abstractNumId="10" w15:restartNumberingAfterBreak="0">
    <w:nsid w:val="39842AA4"/>
    <w:multiLevelType w:val="multilevel"/>
    <w:tmpl w:val="31641940"/>
    <w:lvl w:ilvl="0">
      <w:start w:val="1"/>
      <w:numFmt w:val="decimal"/>
      <w:lvlText w:val="%1."/>
      <w:lvlJc w:val="left"/>
      <w:pPr>
        <w:tabs>
          <w:tab w:val="num" w:pos="992"/>
        </w:tabs>
        <w:ind w:left="992" w:hanging="992"/>
      </w:pPr>
    </w:lvl>
    <w:lvl w:ilvl="1">
      <w:start w:val="1"/>
      <w:numFmt w:val="bullet"/>
      <w:lvlText w:val="o"/>
      <w:lvlJc w:val="left"/>
      <w:pPr>
        <w:tabs>
          <w:tab w:val="num" w:pos="992"/>
        </w:tabs>
        <w:ind w:left="992" w:hanging="992"/>
      </w:pPr>
      <w:rPr>
        <w:rFonts w:ascii="Courier New" w:hAnsi="Courier New" w:cs="Courier New" w:hint="default"/>
      </w:r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3C0F499C"/>
    <w:multiLevelType w:val="hybridMultilevel"/>
    <w:tmpl w:val="521432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37D15"/>
    <w:multiLevelType w:val="hybridMultilevel"/>
    <w:tmpl w:val="E9CE2C44"/>
    <w:lvl w:ilvl="0" w:tplc="B4EC67B8">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48B86FFA"/>
    <w:multiLevelType w:val="hybridMultilevel"/>
    <w:tmpl w:val="36C484F8"/>
    <w:name w:val="GEL_ListTemplateA23"/>
    <w:lvl w:ilvl="0" w:tplc="FFFFFFFF">
      <w:start w:val="1"/>
      <w:numFmt w:val="bullet"/>
      <w:pStyle w:val="AI-ListBullet"/>
      <w:lvlText w:val=""/>
      <w:lvlJc w:val="left"/>
      <w:pPr>
        <w:tabs>
          <w:tab w:val="num" w:pos="709"/>
        </w:tabs>
        <w:ind w:left="709" w:hanging="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5576E"/>
    <w:multiLevelType w:val="hybridMultilevel"/>
    <w:tmpl w:val="C826008A"/>
    <w:name w:val="GEL_ListTemplateA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75B77"/>
    <w:multiLevelType w:val="hybridMultilevel"/>
    <w:tmpl w:val="DDF48C34"/>
    <w:lvl w:ilvl="0" w:tplc="0B88BBB2">
      <w:start w:val="1"/>
      <w:numFmt w:val="decimal"/>
      <w:pStyle w:val="DapaBiblioListing"/>
      <w:lvlText w:val="%1."/>
      <w:lvlJc w:val="left"/>
      <w:pPr>
        <w:ind w:left="360" w:hanging="360"/>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1" w:tplc="04090019">
      <w:start w:val="1"/>
      <w:numFmt w:val="lowerLetter"/>
      <w:lvlText w:val="%2."/>
      <w:lvlJc w:val="left"/>
      <w:pPr>
        <w:ind w:left="-3638" w:hanging="360"/>
      </w:pPr>
    </w:lvl>
    <w:lvl w:ilvl="2" w:tplc="0409001B">
      <w:start w:val="1"/>
      <w:numFmt w:val="lowerRoman"/>
      <w:lvlText w:val="%3."/>
      <w:lvlJc w:val="right"/>
      <w:pPr>
        <w:ind w:left="-2918" w:hanging="180"/>
      </w:pPr>
    </w:lvl>
    <w:lvl w:ilvl="3" w:tplc="0409000F">
      <w:start w:val="1"/>
      <w:numFmt w:val="decimal"/>
      <w:lvlText w:val="%4."/>
      <w:lvlJc w:val="left"/>
      <w:pPr>
        <w:ind w:left="-2198" w:hanging="360"/>
      </w:pPr>
    </w:lvl>
    <w:lvl w:ilvl="4" w:tplc="04090019">
      <w:start w:val="1"/>
      <w:numFmt w:val="lowerLetter"/>
      <w:lvlText w:val="%5."/>
      <w:lvlJc w:val="left"/>
      <w:pPr>
        <w:ind w:left="-1478" w:hanging="360"/>
      </w:pPr>
    </w:lvl>
    <w:lvl w:ilvl="5" w:tplc="0409001B">
      <w:start w:val="1"/>
      <w:numFmt w:val="lowerRoman"/>
      <w:lvlText w:val="%6."/>
      <w:lvlJc w:val="right"/>
      <w:pPr>
        <w:ind w:left="-758" w:hanging="180"/>
      </w:pPr>
    </w:lvl>
    <w:lvl w:ilvl="6" w:tplc="0409000F">
      <w:start w:val="1"/>
      <w:numFmt w:val="decimal"/>
      <w:lvlText w:val="%7."/>
      <w:lvlJc w:val="left"/>
      <w:pPr>
        <w:ind w:left="-38" w:hanging="360"/>
      </w:pPr>
    </w:lvl>
    <w:lvl w:ilvl="7" w:tplc="04090019">
      <w:start w:val="1"/>
      <w:numFmt w:val="lowerLetter"/>
      <w:lvlText w:val="%8."/>
      <w:lvlJc w:val="left"/>
      <w:pPr>
        <w:ind w:left="682" w:hanging="360"/>
      </w:pPr>
    </w:lvl>
    <w:lvl w:ilvl="8" w:tplc="0409001B">
      <w:start w:val="1"/>
      <w:numFmt w:val="lowerRoman"/>
      <w:lvlText w:val="%9."/>
      <w:lvlJc w:val="right"/>
      <w:pPr>
        <w:ind w:left="1402" w:hanging="180"/>
      </w:pPr>
    </w:lvl>
  </w:abstractNum>
  <w:abstractNum w:abstractNumId="16" w15:restartNumberingAfterBreak="0">
    <w:nsid w:val="5B825C3B"/>
    <w:multiLevelType w:val="hybridMultilevel"/>
    <w:tmpl w:val="3FC607A2"/>
    <w:name w:val="GEL_ListTemplateA22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ED56907"/>
    <w:multiLevelType w:val="hybridMultilevel"/>
    <w:tmpl w:val="F46EC4E8"/>
    <w:name w:val="GEL_ListTemplateB22"/>
    <w:lvl w:ilvl="0" w:tplc="A928098C">
      <w:start w:val="1"/>
      <w:numFmt w:val="bullet"/>
      <w:pStyle w:val="AI-ListSubsidiary"/>
      <w:lvlText w:val=""/>
      <w:lvlJc w:val="left"/>
      <w:pPr>
        <w:tabs>
          <w:tab w:val="num" w:pos="1134"/>
        </w:tabs>
        <w:ind w:left="1134" w:hanging="425"/>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A588C"/>
    <w:multiLevelType w:val="singleLevel"/>
    <w:tmpl w:val="AB30F7C4"/>
    <w:name w:val="GEL_ListTemplateA52"/>
    <w:lvl w:ilvl="0">
      <w:start w:val="1"/>
      <w:numFmt w:val="decimal"/>
      <w:lvlRestart w:val="0"/>
      <w:pStyle w:val="A-ListNumber"/>
      <w:lvlText w:val="%1."/>
      <w:lvlJc w:val="left"/>
      <w:pPr>
        <w:tabs>
          <w:tab w:val="num" w:pos="994"/>
        </w:tabs>
        <w:ind w:left="994" w:hanging="994"/>
      </w:pPr>
    </w:lvl>
  </w:abstractNum>
  <w:abstractNum w:abstractNumId="19" w15:restartNumberingAfterBreak="0">
    <w:nsid w:val="79883734"/>
    <w:multiLevelType w:val="hybridMultilevel"/>
    <w:tmpl w:val="1E46E74A"/>
    <w:name w:val="GEL_ListTemplateA"/>
    <w:lvl w:ilvl="0" w:tplc="FFFFFFFF">
      <w:start w:val="1"/>
      <w:numFmt w:val="bullet"/>
      <w:lvlText w:val=""/>
      <w:lvlJc w:val="left"/>
      <w:pPr>
        <w:tabs>
          <w:tab w:val="num" w:pos="851"/>
        </w:tabs>
        <w:ind w:left="851" w:hanging="85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18"/>
  </w:num>
  <w:num w:numId="5">
    <w:abstractNumId w:val="7"/>
  </w:num>
  <w:num w:numId="6">
    <w:abstractNumId w:val="6"/>
  </w:num>
  <w:num w:numId="7">
    <w:abstractNumId w:val="19"/>
  </w:num>
  <w:num w:numId="8">
    <w:abstractNumId w:val="14"/>
  </w:num>
  <w:num w:numId="9">
    <w:abstractNumId w:val="16"/>
  </w:num>
  <w:num w:numId="10">
    <w:abstractNumId w:val="5"/>
  </w:num>
  <w:num w:numId="11">
    <w:abstractNumId w:val="13"/>
  </w:num>
  <w:num w:numId="12">
    <w:abstractNumId w:val="17"/>
  </w:num>
  <w:num w:numId="13">
    <w:abstractNumId w:val="12"/>
  </w:num>
  <w:num w:numId="14">
    <w:abstractNumId w:val="2"/>
  </w:num>
  <w:num w:numId="15">
    <w:abstractNumId w:val="10"/>
  </w:num>
  <w:num w:numId="16">
    <w:abstractNumId w:val="11"/>
  </w:num>
  <w:num w:numId="17">
    <w:abstractNumId w:val="1"/>
  </w:num>
  <w:num w:numId="18">
    <w:abstractNumId w:val="8"/>
  </w:num>
  <w:num w:numId="19">
    <w:abstractNumId w:val="15"/>
    <w:lvlOverride w:ilvl="0">
      <w:startOverride w:val="1"/>
    </w:lvlOverride>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A3"/>
    <w:rsid w:val="00070DCF"/>
    <w:rsid w:val="00612A38"/>
    <w:rsid w:val="006D75A3"/>
    <w:rsid w:val="00BC3D40"/>
    <w:rsid w:val="00E97D5B"/>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3531"/>
  <w15:chartTrackingRefBased/>
  <w15:docId w15:val="{E6962713-059C-4BF8-8E31-EAF9DE62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5A3"/>
    <w:pPr>
      <w:spacing w:after="240" w:line="280" w:lineRule="atLeast"/>
    </w:pPr>
    <w:rPr>
      <w:rFonts w:ascii="Times New Roman" w:eastAsia="Times New Roman" w:hAnsi="Times New Roman" w:cs="Times New Roman"/>
      <w:sz w:val="24"/>
      <w:szCs w:val="20"/>
      <w:lang w:val="en-GB"/>
    </w:rPr>
  </w:style>
  <w:style w:type="paragraph" w:styleId="Heading1">
    <w:name w:val="heading 1"/>
    <w:next w:val="Normal"/>
    <w:link w:val="Heading1Char"/>
    <w:qFormat/>
    <w:rsid w:val="006D75A3"/>
    <w:pPr>
      <w:keepNext/>
      <w:numPr>
        <w:numId w:val="1"/>
      </w:numPr>
      <w:spacing w:before="480" w:after="240" w:line="240" w:lineRule="auto"/>
      <w:outlineLvl w:val="0"/>
    </w:pPr>
    <w:rPr>
      <w:rFonts w:ascii="Times New Roman" w:eastAsia="Times New Roman" w:hAnsi="Times New Roman" w:cs="Times New Roman"/>
      <w:b/>
      <w:caps/>
      <w:sz w:val="28"/>
      <w:szCs w:val="20"/>
      <w:lang w:val="en-GB"/>
    </w:rPr>
  </w:style>
  <w:style w:type="paragraph" w:styleId="Heading2">
    <w:name w:val="heading 2"/>
    <w:next w:val="Normal"/>
    <w:link w:val="Heading2Char"/>
    <w:qFormat/>
    <w:rsid w:val="006D75A3"/>
    <w:pPr>
      <w:keepNext/>
      <w:numPr>
        <w:ilvl w:val="1"/>
        <w:numId w:val="1"/>
      </w:numPr>
      <w:spacing w:before="120" w:after="120" w:line="240" w:lineRule="auto"/>
      <w:outlineLvl w:val="1"/>
    </w:pPr>
    <w:rPr>
      <w:rFonts w:ascii="Times New Roman" w:eastAsia="Times New Roman" w:hAnsi="Times New Roman" w:cs="Times New Roman"/>
      <w:b/>
      <w:sz w:val="28"/>
      <w:szCs w:val="20"/>
      <w:lang w:val="en-GB"/>
    </w:rPr>
  </w:style>
  <w:style w:type="paragraph" w:styleId="Heading3">
    <w:name w:val="heading 3"/>
    <w:next w:val="Normal"/>
    <w:link w:val="Heading3Char"/>
    <w:qFormat/>
    <w:rsid w:val="006D75A3"/>
    <w:pPr>
      <w:keepNext/>
      <w:numPr>
        <w:ilvl w:val="2"/>
        <w:numId w:val="1"/>
      </w:numPr>
      <w:spacing w:after="120" w:line="240" w:lineRule="auto"/>
      <w:outlineLvl w:val="2"/>
    </w:pPr>
    <w:rPr>
      <w:rFonts w:ascii="Times New Roman" w:eastAsia="Times New Roman" w:hAnsi="Times New Roman" w:cs="Times New Roman"/>
      <w:b/>
      <w:sz w:val="24"/>
      <w:szCs w:val="20"/>
      <w:lang w:val="en-GB"/>
    </w:rPr>
  </w:style>
  <w:style w:type="paragraph" w:styleId="Heading4">
    <w:name w:val="heading 4"/>
    <w:next w:val="Normal"/>
    <w:link w:val="Heading4Char"/>
    <w:qFormat/>
    <w:rsid w:val="006D75A3"/>
    <w:pPr>
      <w:keepNext/>
      <w:numPr>
        <w:ilvl w:val="3"/>
        <w:numId w:val="1"/>
      </w:numPr>
      <w:spacing w:after="120" w:line="240" w:lineRule="auto"/>
      <w:outlineLvl w:val="3"/>
    </w:pPr>
    <w:rPr>
      <w:rFonts w:ascii="Times New Roman" w:eastAsia="Times New Roman" w:hAnsi="Times New Roman" w:cs="Times New Roman"/>
      <w:b/>
      <w:sz w:val="24"/>
      <w:szCs w:val="20"/>
      <w:lang w:val="en-GB"/>
    </w:rPr>
  </w:style>
  <w:style w:type="paragraph" w:styleId="Heading5">
    <w:name w:val="heading 5"/>
    <w:next w:val="Normal"/>
    <w:link w:val="Heading5Char"/>
    <w:qFormat/>
    <w:rsid w:val="006D75A3"/>
    <w:pPr>
      <w:keepNext/>
      <w:spacing w:after="120" w:line="240" w:lineRule="auto"/>
      <w:outlineLvl w:val="4"/>
    </w:pPr>
    <w:rPr>
      <w:rFonts w:ascii="Times New Roman" w:eastAsia="Times New Roman" w:hAnsi="Times New Roman" w:cs="Times New Roman"/>
      <w:b/>
      <w:sz w:val="24"/>
      <w:szCs w:val="20"/>
      <w:lang w:val="en-GB"/>
    </w:rPr>
  </w:style>
  <w:style w:type="paragraph" w:styleId="Heading6">
    <w:name w:val="heading 6"/>
    <w:next w:val="Normal"/>
    <w:link w:val="Heading6Char"/>
    <w:qFormat/>
    <w:rsid w:val="006D75A3"/>
    <w:pPr>
      <w:keepNext/>
      <w:spacing w:after="120" w:line="240" w:lineRule="auto"/>
      <w:outlineLvl w:val="5"/>
    </w:pPr>
    <w:rPr>
      <w:rFonts w:ascii="Times New Roman" w:eastAsia="Times New Roman" w:hAnsi="Times New Roman" w:cs="Times New Roman"/>
      <w:b/>
      <w:sz w:val="24"/>
      <w:szCs w:val="20"/>
      <w:lang w:val="en-GB"/>
    </w:rPr>
  </w:style>
  <w:style w:type="paragraph" w:styleId="Heading7">
    <w:name w:val="heading 7"/>
    <w:next w:val="Normal"/>
    <w:link w:val="Heading7Char"/>
    <w:qFormat/>
    <w:rsid w:val="006D75A3"/>
    <w:pPr>
      <w:keepNext/>
      <w:spacing w:after="120" w:line="240" w:lineRule="auto"/>
      <w:outlineLvl w:val="6"/>
    </w:pPr>
    <w:rPr>
      <w:rFonts w:ascii="Times New Roman" w:eastAsia="Times New Roman" w:hAnsi="Times New Roman" w:cs="Times New Roman"/>
      <w:b/>
      <w:sz w:val="24"/>
      <w:szCs w:val="20"/>
      <w:lang w:val="en-GB"/>
    </w:rPr>
  </w:style>
  <w:style w:type="paragraph" w:styleId="Heading8">
    <w:name w:val="heading 8"/>
    <w:next w:val="Normal"/>
    <w:link w:val="Heading8Char"/>
    <w:qFormat/>
    <w:rsid w:val="006D75A3"/>
    <w:pPr>
      <w:keepNext/>
      <w:spacing w:after="120" w:line="240" w:lineRule="auto"/>
      <w:outlineLvl w:val="7"/>
    </w:pPr>
    <w:rPr>
      <w:rFonts w:ascii="Times New Roman" w:eastAsia="Times New Roman" w:hAnsi="Times New Roman" w:cs="Times New Roman"/>
      <w:b/>
      <w:sz w:val="24"/>
      <w:szCs w:val="20"/>
      <w:lang w:val="en-GB"/>
    </w:rPr>
  </w:style>
  <w:style w:type="paragraph" w:styleId="Heading9">
    <w:name w:val="heading 9"/>
    <w:next w:val="Normal"/>
    <w:link w:val="Heading9Char"/>
    <w:qFormat/>
    <w:rsid w:val="006D75A3"/>
    <w:pPr>
      <w:keepNext/>
      <w:spacing w:after="0" w:line="240" w:lineRule="auto"/>
      <w:outlineLvl w:val="8"/>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5A3"/>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6D75A3"/>
    <w:rPr>
      <w:rFonts w:ascii="Times New Roman" w:eastAsia="Times New Roman" w:hAnsi="Times New Roman" w:cs="Times New Roman"/>
      <w:b/>
      <w:sz w:val="28"/>
      <w:szCs w:val="20"/>
      <w:lang w:val="en-GB"/>
    </w:rPr>
  </w:style>
  <w:style w:type="character" w:customStyle="1" w:styleId="Heading3Char">
    <w:name w:val="Heading 3 Char"/>
    <w:basedOn w:val="DefaultParagraphFont"/>
    <w:link w:val="Heading3"/>
    <w:rsid w:val="006D75A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6D75A3"/>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6D75A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6D75A3"/>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6D75A3"/>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6D75A3"/>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6D75A3"/>
    <w:rPr>
      <w:rFonts w:ascii="Times New Roman" w:eastAsia="Times New Roman" w:hAnsi="Times New Roman" w:cs="Times New Roman"/>
      <w:b/>
      <w:sz w:val="24"/>
      <w:szCs w:val="20"/>
      <w:lang w:val="en-GB"/>
    </w:rPr>
  </w:style>
  <w:style w:type="paragraph" w:styleId="Header">
    <w:name w:val="header"/>
    <w:link w:val="HeaderChar"/>
    <w:semiHidden/>
    <w:rsid w:val="006D75A3"/>
    <w:pPr>
      <w:spacing w:after="0" w:line="240" w:lineRule="auto"/>
    </w:pPr>
    <w:rPr>
      <w:rFonts w:ascii="Times New Roman" w:eastAsia="Times New Roman" w:hAnsi="Times New Roman" w:cs="Times New Roman"/>
      <w:sz w:val="16"/>
      <w:szCs w:val="20"/>
      <w:lang w:val="en-GB"/>
    </w:rPr>
  </w:style>
  <w:style w:type="character" w:customStyle="1" w:styleId="HeaderChar">
    <w:name w:val="Header Char"/>
    <w:basedOn w:val="DefaultParagraphFont"/>
    <w:link w:val="Header"/>
    <w:semiHidden/>
    <w:rsid w:val="006D75A3"/>
    <w:rPr>
      <w:rFonts w:ascii="Times New Roman" w:eastAsia="Times New Roman" w:hAnsi="Times New Roman" w:cs="Times New Roman"/>
      <w:sz w:val="16"/>
      <w:szCs w:val="20"/>
      <w:lang w:val="en-GB"/>
    </w:rPr>
  </w:style>
  <w:style w:type="paragraph" w:styleId="Footer">
    <w:name w:val="footer"/>
    <w:link w:val="FooterChar"/>
    <w:uiPriority w:val="99"/>
    <w:rsid w:val="006D75A3"/>
    <w:pPr>
      <w:spacing w:after="0" w:line="240" w:lineRule="auto"/>
    </w:pPr>
    <w:rPr>
      <w:rFonts w:ascii="Times New Roman" w:eastAsia="Times New Roman" w:hAnsi="Times New Roman" w:cs="Times New Roman"/>
      <w:sz w:val="16"/>
      <w:szCs w:val="20"/>
      <w:lang w:val="en-GB"/>
    </w:rPr>
  </w:style>
  <w:style w:type="character" w:customStyle="1" w:styleId="FooterChar">
    <w:name w:val="Footer Char"/>
    <w:basedOn w:val="DefaultParagraphFont"/>
    <w:link w:val="Footer"/>
    <w:uiPriority w:val="99"/>
    <w:rsid w:val="006D75A3"/>
    <w:rPr>
      <w:rFonts w:ascii="Times New Roman" w:eastAsia="Times New Roman" w:hAnsi="Times New Roman" w:cs="Times New Roman"/>
      <w:sz w:val="16"/>
      <w:szCs w:val="20"/>
      <w:lang w:val="en-GB"/>
    </w:rPr>
  </w:style>
  <w:style w:type="paragraph" w:customStyle="1" w:styleId="A-Guided">
    <w:name w:val="A-Guided"/>
    <w:rsid w:val="006D75A3"/>
    <w:pPr>
      <w:spacing w:before="60" w:after="0" w:line="240" w:lineRule="auto"/>
    </w:pPr>
    <w:rPr>
      <w:rFonts w:ascii="Times New Roman" w:eastAsia="Times New Roman" w:hAnsi="Times New Roman" w:cs="Times New Roman"/>
      <w:sz w:val="20"/>
      <w:szCs w:val="20"/>
      <w:lang w:val="en-GB"/>
    </w:rPr>
  </w:style>
  <w:style w:type="paragraph" w:customStyle="1" w:styleId="A-GuidedBold">
    <w:name w:val="A-Guided Bold"/>
    <w:rsid w:val="006D75A3"/>
    <w:pPr>
      <w:spacing w:before="60" w:after="120" w:line="240" w:lineRule="auto"/>
    </w:pPr>
    <w:rPr>
      <w:rFonts w:ascii="Times New Roman" w:eastAsia="Times New Roman" w:hAnsi="Times New Roman" w:cs="Times New Roman"/>
      <w:b/>
      <w:sz w:val="20"/>
      <w:szCs w:val="20"/>
      <w:lang w:val="en-GB"/>
    </w:rPr>
  </w:style>
  <w:style w:type="character" w:customStyle="1" w:styleId="Z-RedHidden">
    <w:name w:val="Z-Red Hidden"/>
    <w:rsid w:val="006D75A3"/>
    <w:rPr>
      <w:rFonts w:ascii="Arial" w:hAnsi="Arial"/>
      <w:vanish/>
      <w:color w:val="FF0000"/>
      <w:sz w:val="16"/>
    </w:rPr>
  </w:style>
  <w:style w:type="paragraph" w:customStyle="1" w:styleId="A-StudyTitle">
    <w:name w:val="A-Study Title"/>
    <w:rsid w:val="006D75A3"/>
    <w:pPr>
      <w:spacing w:after="120" w:line="240" w:lineRule="auto"/>
    </w:pPr>
    <w:rPr>
      <w:rFonts w:ascii="Times New Roman" w:eastAsia="Times New Roman" w:hAnsi="Times New Roman" w:cs="Times New Roman"/>
      <w:b/>
      <w:sz w:val="28"/>
      <w:szCs w:val="20"/>
      <w:lang w:val="en-GB"/>
    </w:rPr>
  </w:style>
  <w:style w:type="paragraph" w:styleId="TOC1">
    <w:name w:val="toc 1"/>
    <w:next w:val="TOC2"/>
    <w:semiHidden/>
    <w:rsid w:val="006D75A3"/>
    <w:pPr>
      <w:tabs>
        <w:tab w:val="right" w:leader="dot" w:pos="8931"/>
      </w:tabs>
      <w:spacing w:before="120" w:after="0" w:line="240" w:lineRule="auto"/>
      <w:ind w:left="994" w:right="864" w:hanging="994"/>
    </w:pPr>
    <w:rPr>
      <w:rFonts w:ascii="Times New Roman" w:eastAsia="Times New Roman" w:hAnsi="Times New Roman" w:cs="Times New Roman"/>
      <w:caps/>
      <w:sz w:val="24"/>
      <w:szCs w:val="20"/>
      <w:lang w:val="en-GB"/>
    </w:rPr>
  </w:style>
  <w:style w:type="paragraph" w:styleId="TOC2">
    <w:name w:val="toc 2"/>
    <w:basedOn w:val="TOC1"/>
    <w:next w:val="TOC3"/>
    <w:semiHidden/>
    <w:rsid w:val="006D75A3"/>
    <w:rPr>
      <w:caps w:val="0"/>
    </w:rPr>
  </w:style>
  <w:style w:type="paragraph" w:styleId="TOC3">
    <w:name w:val="toc 3"/>
    <w:basedOn w:val="TOC1"/>
    <w:next w:val="TOC4"/>
    <w:semiHidden/>
    <w:rsid w:val="006D75A3"/>
    <w:pPr>
      <w:spacing w:before="0"/>
    </w:pPr>
    <w:rPr>
      <w:caps w:val="0"/>
    </w:rPr>
  </w:style>
  <w:style w:type="paragraph" w:styleId="TOC4">
    <w:name w:val="toc 4"/>
    <w:basedOn w:val="TOC1"/>
    <w:semiHidden/>
    <w:rsid w:val="006D75A3"/>
    <w:pPr>
      <w:spacing w:before="0"/>
    </w:pPr>
    <w:rPr>
      <w:caps w:val="0"/>
    </w:rPr>
  </w:style>
  <w:style w:type="character" w:styleId="PageNumber">
    <w:name w:val="page number"/>
    <w:semiHidden/>
    <w:rsid w:val="006D75A3"/>
    <w:rPr>
      <w:rFonts w:ascii="Times New Roman" w:hAnsi="Times New Roman"/>
      <w:sz w:val="24"/>
    </w:rPr>
  </w:style>
  <w:style w:type="paragraph" w:customStyle="1" w:styleId="A-TableText">
    <w:name w:val="A-Table Text"/>
    <w:rsid w:val="006D75A3"/>
    <w:pPr>
      <w:spacing w:before="60" w:after="60" w:line="240" w:lineRule="auto"/>
    </w:pPr>
    <w:rPr>
      <w:rFonts w:ascii="Times New Roman" w:eastAsia="Times New Roman" w:hAnsi="Times New Roman" w:cs="Times New Roman"/>
      <w:szCs w:val="20"/>
      <w:lang w:val="en-GB"/>
    </w:rPr>
  </w:style>
  <w:style w:type="paragraph" w:styleId="Caption">
    <w:name w:val="caption"/>
    <w:next w:val="Normal"/>
    <w:qFormat/>
    <w:rsid w:val="006D75A3"/>
    <w:pPr>
      <w:keepNext/>
      <w:spacing w:after="120" w:line="280" w:lineRule="atLeast"/>
      <w:ind w:left="1418" w:hanging="1418"/>
    </w:pPr>
    <w:rPr>
      <w:rFonts w:ascii="Times New Roman" w:eastAsia="Times New Roman" w:hAnsi="Times New Roman" w:cs="Times New Roman"/>
      <w:b/>
      <w:sz w:val="24"/>
      <w:szCs w:val="20"/>
      <w:lang w:val="en-GB"/>
    </w:rPr>
  </w:style>
  <w:style w:type="paragraph" w:styleId="TOC5">
    <w:name w:val="toc 5"/>
    <w:basedOn w:val="TOC1"/>
    <w:next w:val="Normal"/>
    <w:semiHidden/>
    <w:rsid w:val="006D75A3"/>
    <w:pPr>
      <w:ind w:firstLine="0"/>
    </w:pPr>
  </w:style>
  <w:style w:type="paragraph" w:styleId="TOC6">
    <w:name w:val="toc 6"/>
    <w:basedOn w:val="TOC2"/>
    <w:next w:val="Normal"/>
    <w:semiHidden/>
    <w:rsid w:val="006D75A3"/>
    <w:pPr>
      <w:ind w:firstLine="0"/>
    </w:pPr>
  </w:style>
  <w:style w:type="paragraph" w:styleId="TOC7">
    <w:name w:val="toc 7"/>
    <w:basedOn w:val="TOC3"/>
    <w:next w:val="Normal"/>
    <w:semiHidden/>
    <w:rsid w:val="006D75A3"/>
    <w:pPr>
      <w:ind w:firstLine="0"/>
    </w:pPr>
  </w:style>
  <w:style w:type="paragraph" w:styleId="TOC8">
    <w:name w:val="toc 8"/>
    <w:basedOn w:val="TOC4"/>
    <w:next w:val="Normal"/>
    <w:semiHidden/>
    <w:rsid w:val="006D75A3"/>
    <w:pPr>
      <w:ind w:firstLine="0"/>
    </w:pPr>
  </w:style>
  <w:style w:type="paragraph" w:styleId="TOC9">
    <w:name w:val="toc 9"/>
    <w:basedOn w:val="TOC1"/>
    <w:next w:val="Normal"/>
    <w:semiHidden/>
    <w:rsid w:val="006D75A3"/>
    <w:pPr>
      <w:ind w:firstLine="0"/>
    </w:pPr>
  </w:style>
  <w:style w:type="paragraph" w:customStyle="1" w:styleId="A-LandscapeFont">
    <w:name w:val="A-Landscape Font"/>
    <w:rsid w:val="006D75A3"/>
    <w:pPr>
      <w:spacing w:after="0" w:line="280" w:lineRule="atLeast"/>
    </w:pPr>
    <w:rPr>
      <w:rFonts w:ascii="Times New Roman" w:eastAsia="Times New Roman" w:hAnsi="Times New Roman" w:cs="Times New Roman"/>
      <w:sz w:val="16"/>
      <w:szCs w:val="20"/>
      <w:lang w:val="en-GB"/>
    </w:rPr>
  </w:style>
  <w:style w:type="paragraph" w:customStyle="1" w:styleId="A-TableHeader">
    <w:name w:val="A-Table Header"/>
    <w:next w:val="A-TableText"/>
    <w:rsid w:val="006D75A3"/>
    <w:pPr>
      <w:keepNext/>
      <w:spacing w:before="60" w:after="60" w:line="240" w:lineRule="auto"/>
    </w:pPr>
    <w:rPr>
      <w:rFonts w:ascii="Times New Roman" w:eastAsia="Times New Roman" w:hAnsi="Times New Roman" w:cs="Times New Roman"/>
      <w:b/>
      <w:szCs w:val="20"/>
      <w:lang w:val="en-GB"/>
    </w:rPr>
  </w:style>
  <w:style w:type="paragraph" w:styleId="TableofFigures">
    <w:name w:val="table of figures"/>
    <w:next w:val="Normal"/>
    <w:semiHidden/>
    <w:rsid w:val="006D75A3"/>
    <w:pPr>
      <w:tabs>
        <w:tab w:val="left" w:pos="1800"/>
        <w:tab w:val="right" w:leader="dot" w:pos="8928"/>
      </w:tabs>
      <w:spacing w:before="120" w:after="0" w:line="280" w:lineRule="atLeast"/>
      <w:ind w:left="1800" w:right="864" w:hanging="1800"/>
    </w:pPr>
    <w:rPr>
      <w:rFonts w:ascii="Times New Roman" w:eastAsia="Times New Roman" w:hAnsi="Times New Roman" w:cs="Times New Roman"/>
      <w:sz w:val="24"/>
      <w:szCs w:val="20"/>
      <w:lang w:val="en-GB"/>
    </w:rPr>
  </w:style>
  <w:style w:type="paragraph" w:customStyle="1" w:styleId="A-AppendixTitle">
    <w:name w:val="A-Appendix Title"/>
    <w:next w:val="Normal"/>
    <w:rsid w:val="006D75A3"/>
    <w:pPr>
      <w:tabs>
        <w:tab w:val="left" w:pos="1800"/>
      </w:tabs>
      <w:spacing w:after="120" w:line="240" w:lineRule="auto"/>
      <w:ind w:left="1800" w:hanging="1800"/>
    </w:pPr>
    <w:rPr>
      <w:rFonts w:ascii="Times New Roman" w:eastAsia="Times New Roman" w:hAnsi="Times New Roman" w:cs="Times New Roman"/>
      <w:b/>
      <w:sz w:val="28"/>
      <w:szCs w:val="20"/>
      <w:lang w:val="en-GB"/>
    </w:rPr>
  </w:style>
  <w:style w:type="paragraph" w:customStyle="1" w:styleId="Z-Box">
    <w:name w:val="Z-Box"/>
    <w:basedOn w:val="Normal"/>
    <w:rsid w:val="006D75A3"/>
    <w:pPr>
      <w:pBdr>
        <w:top w:val="single" w:sz="6" w:space="0" w:color="auto"/>
        <w:left w:val="single" w:sz="6" w:space="0" w:color="auto"/>
        <w:bottom w:val="single" w:sz="6" w:space="0" w:color="auto"/>
        <w:right w:val="single" w:sz="6" w:space="0" w:color="auto"/>
      </w:pBdr>
      <w:spacing w:before="40" w:after="40"/>
      <w:jc w:val="center"/>
    </w:pPr>
    <w:rPr>
      <w:sz w:val="20"/>
    </w:rPr>
  </w:style>
  <w:style w:type="paragraph" w:customStyle="1" w:styleId="A-Single">
    <w:name w:val="A-Single"/>
    <w:rsid w:val="006D75A3"/>
    <w:pPr>
      <w:spacing w:after="0" w:line="240" w:lineRule="auto"/>
    </w:pPr>
    <w:rPr>
      <w:rFonts w:ascii="Times New Roman" w:eastAsia="Times New Roman" w:hAnsi="Times New Roman" w:cs="Times New Roman"/>
      <w:sz w:val="24"/>
      <w:szCs w:val="20"/>
      <w:lang w:val="en-GB"/>
    </w:rPr>
  </w:style>
  <w:style w:type="paragraph" w:customStyle="1" w:styleId="A-Unnumbered">
    <w:name w:val="A-Unnumbered"/>
    <w:next w:val="Normal"/>
    <w:rsid w:val="006D75A3"/>
    <w:pPr>
      <w:keepNext/>
      <w:spacing w:before="480" w:after="240" w:line="240" w:lineRule="auto"/>
    </w:pPr>
    <w:rPr>
      <w:rFonts w:ascii="Times New Roman" w:eastAsia="Times New Roman" w:hAnsi="Times New Roman" w:cs="Times New Roman"/>
      <w:b/>
      <w:caps/>
      <w:sz w:val="28"/>
      <w:szCs w:val="20"/>
      <w:lang w:val="en-GB"/>
    </w:rPr>
  </w:style>
  <w:style w:type="paragraph" w:customStyle="1" w:styleId="A-Unassigned">
    <w:name w:val="A-Unassigned"/>
    <w:next w:val="Normal"/>
    <w:rsid w:val="006D75A3"/>
    <w:pPr>
      <w:keepNext/>
      <w:spacing w:before="120" w:after="120" w:line="240" w:lineRule="auto"/>
    </w:pPr>
    <w:rPr>
      <w:rFonts w:ascii="Times New Roman" w:eastAsia="Times New Roman" w:hAnsi="Times New Roman" w:cs="Times New Roman"/>
      <w:b/>
      <w:sz w:val="24"/>
      <w:szCs w:val="20"/>
      <w:lang w:val="en-GB"/>
    </w:rPr>
  </w:style>
  <w:style w:type="paragraph" w:customStyle="1" w:styleId="A-ListBullet">
    <w:name w:val="A-List Bullet"/>
    <w:rsid w:val="006D75A3"/>
    <w:pPr>
      <w:numPr>
        <w:numId w:val="2"/>
      </w:numPr>
      <w:spacing w:after="240" w:line="280" w:lineRule="atLeast"/>
    </w:pPr>
    <w:rPr>
      <w:rFonts w:ascii="Times New Roman" w:eastAsia="Times New Roman" w:hAnsi="Times New Roman" w:cs="Times New Roman"/>
      <w:sz w:val="24"/>
      <w:szCs w:val="20"/>
      <w:lang w:val="en-GB"/>
    </w:rPr>
  </w:style>
  <w:style w:type="paragraph" w:customStyle="1" w:styleId="A-ListNumber">
    <w:name w:val="A-List Number"/>
    <w:rsid w:val="006D75A3"/>
    <w:pPr>
      <w:numPr>
        <w:numId w:val="4"/>
      </w:numPr>
      <w:spacing w:after="240" w:line="280" w:lineRule="atLeast"/>
    </w:pPr>
    <w:rPr>
      <w:rFonts w:ascii="Times New Roman" w:eastAsia="Times New Roman" w:hAnsi="Times New Roman" w:cs="Times New Roman"/>
      <w:sz w:val="24"/>
      <w:szCs w:val="20"/>
      <w:lang w:val="en-GB"/>
    </w:rPr>
  </w:style>
  <w:style w:type="paragraph" w:customStyle="1" w:styleId="A-ListSubsidiary">
    <w:name w:val="A-List Subsidiary"/>
    <w:rsid w:val="006D75A3"/>
    <w:pPr>
      <w:numPr>
        <w:numId w:val="3"/>
      </w:numPr>
      <w:tabs>
        <w:tab w:val="clear" w:pos="1987"/>
        <w:tab w:val="left" w:pos="1440"/>
      </w:tabs>
      <w:spacing w:after="240" w:line="280" w:lineRule="atLeast"/>
      <w:ind w:left="1440" w:hanging="446"/>
    </w:pPr>
    <w:rPr>
      <w:rFonts w:ascii="Times New Roman" w:eastAsia="Times New Roman" w:hAnsi="Times New Roman" w:cs="Times New Roman"/>
      <w:sz w:val="24"/>
      <w:szCs w:val="20"/>
      <w:lang w:val="en-GB"/>
    </w:rPr>
  </w:style>
  <w:style w:type="paragraph" w:customStyle="1" w:styleId="A-NormalIndent">
    <w:name w:val="A-Normal Indent"/>
    <w:next w:val="Normal"/>
    <w:rsid w:val="006D75A3"/>
    <w:pPr>
      <w:spacing w:after="240" w:line="280" w:lineRule="atLeast"/>
      <w:ind w:left="992"/>
    </w:pPr>
    <w:rPr>
      <w:rFonts w:ascii="Times New Roman" w:eastAsia="Times New Roman" w:hAnsi="Times New Roman" w:cs="Times New Roman"/>
      <w:sz w:val="24"/>
      <w:szCs w:val="20"/>
      <w:lang w:val="en-GB"/>
    </w:rPr>
  </w:style>
  <w:style w:type="paragraph" w:customStyle="1" w:styleId="A-Lista">
    <w:name w:val="A-List (a)"/>
    <w:rsid w:val="006D75A3"/>
    <w:pPr>
      <w:numPr>
        <w:numId w:val="5"/>
      </w:numPr>
      <w:spacing w:after="240" w:line="280" w:lineRule="atLeast"/>
    </w:pPr>
    <w:rPr>
      <w:rFonts w:ascii="Times New Roman" w:eastAsia="Times New Roman" w:hAnsi="Times New Roman" w:cs="Times New Roman"/>
      <w:sz w:val="24"/>
      <w:szCs w:val="20"/>
      <w:lang w:val="en-GB"/>
    </w:rPr>
  </w:style>
  <w:style w:type="paragraph" w:customStyle="1" w:styleId="A-Listi">
    <w:name w:val="A-List (i)"/>
    <w:rsid w:val="006D75A3"/>
    <w:pPr>
      <w:numPr>
        <w:numId w:val="6"/>
      </w:numPr>
      <w:spacing w:after="240" w:line="280" w:lineRule="atLeast"/>
    </w:pPr>
    <w:rPr>
      <w:rFonts w:ascii="Times New Roman" w:eastAsia="Times New Roman" w:hAnsi="Times New Roman" w:cs="Times New Roman"/>
      <w:sz w:val="24"/>
      <w:szCs w:val="20"/>
      <w:lang w:val="en-GB"/>
    </w:rPr>
  </w:style>
  <w:style w:type="paragraph" w:customStyle="1" w:styleId="A-TableTitle">
    <w:name w:val="A-Table Title"/>
    <w:next w:val="Normal"/>
    <w:rsid w:val="006D75A3"/>
    <w:pPr>
      <w:keepNext/>
      <w:tabs>
        <w:tab w:val="left" w:pos="1800"/>
      </w:tabs>
      <w:spacing w:after="120" w:line="280" w:lineRule="atLeast"/>
      <w:ind w:left="1800" w:hanging="1800"/>
    </w:pPr>
    <w:rPr>
      <w:rFonts w:ascii="Times New Roman" w:eastAsia="Times New Roman" w:hAnsi="Times New Roman" w:cs="Times New Roman"/>
      <w:b/>
      <w:sz w:val="24"/>
      <w:szCs w:val="20"/>
      <w:lang w:val="en-GB"/>
    </w:rPr>
  </w:style>
  <w:style w:type="paragraph" w:customStyle="1" w:styleId="A-FigureTitle">
    <w:name w:val="A-Figure Title"/>
    <w:next w:val="Normal"/>
    <w:rsid w:val="006D75A3"/>
    <w:pPr>
      <w:keepNext/>
      <w:tabs>
        <w:tab w:val="left" w:pos="1800"/>
      </w:tabs>
      <w:spacing w:after="120" w:line="280" w:lineRule="atLeast"/>
      <w:ind w:left="1800" w:hanging="1800"/>
    </w:pPr>
    <w:rPr>
      <w:rFonts w:ascii="Times New Roman" w:eastAsia="Times New Roman" w:hAnsi="Times New Roman" w:cs="Times New Roman"/>
      <w:b/>
      <w:sz w:val="24"/>
      <w:szCs w:val="20"/>
      <w:lang w:val="en-GB"/>
    </w:rPr>
  </w:style>
  <w:style w:type="paragraph" w:customStyle="1" w:styleId="A-TableFootnoteText">
    <w:name w:val="A-Table Footnote Text"/>
    <w:next w:val="Normal"/>
    <w:rsid w:val="006D75A3"/>
    <w:pPr>
      <w:tabs>
        <w:tab w:val="left" w:pos="432"/>
      </w:tabs>
      <w:spacing w:after="0" w:line="240" w:lineRule="auto"/>
      <w:ind w:left="432" w:hanging="432"/>
    </w:pPr>
    <w:rPr>
      <w:rFonts w:ascii="Times New Roman" w:eastAsia="Times New Roman" w:hAnsi="Times New Roman" w:cs="Times New Roman"/>
      <w:sz w:val="20"/>
      <w:szCs w:val="20"/>
      <w:lang w:val="en-GB"/>
    </w:rPr>
  </w:style>
  <w:style w:type="paragraph" w:customStyle="1" w:styleId="Z-LogoHeader">
    <w:name w:val="Z-Logo Header"/>
    <w:basedOn w:val="Header"/>
    <w:rsid w:val="006D75A3"/>
    <w:pPr>
      <w:spacing w:before="240"/>
    </w:pPr>
  </w:style>
  <w:style w:type="paragraph" w:customStyle="1" w:styleId="Z-Signature">
    <w:name w:val="Z-Signature"/>
    <w:next w:val="Normal"/>
    <w:rsid w:val="006D75A3"/>
    <w:pPr>
      <w:spacing w:before="360" w:after="0" w:line="280" w:lineRule="atLeast"/>
    </w:pPr>
    <w:rPr>
      <w:rFonts w:ascii="Times New Roman" w:eastAsia="Times New Roman" w:hAnsi="Times New Roman" w:cs="Times New Roman"/>
      <w:sz w:val="24"/>
      <w:szCs w:val="20"/>
      <w:lang w:val="en-GB"/>
    </w:rPr>
  </w:style>
  <w:style w:type="paragraph" w:customStyle="1" w:styleId="Z-StudyCode">
    <w:name w:val="Z-StudyCode"/>
    <w:basedOn w:val="Normal"/>
    <w:rsid w:val="006D75A3"/>
    <w:pPr>
      <w:spacing w:after="0" w:line="240" w:lineRule="auto"/>
    </w:pPr>
    <w:rPr>
      <w:szCs w:val="24"/>
    </w:rPr>
  </w:style>
  <w:style w:type="paragraph" w:styleId="DocumentMap">
    <w:name w:val="Document Map"/>
    <w:basedOn w:val="Normal"/>
    <w:link w:val="DocumentMapChar"/>
    <w:semiHidden/>
    <w:rsid w:val="006D75A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D75A3"/>
    <w:rPr>
      <w:rFonts w:ascii="Tahoma" w:eastAsia="Times New Roman" w:hAnsi="Tahoma" w:cs="Tahoma"/>
      <w:sz w:val="24"/>
      <w:szCs w:val="20"/>
      <w:shd w:val="clear" w:color="auto" w:fill="000080"/>
      <w:lang w:val="en-GB"/>
    </w:rPr>
  </w:style>
  <w:style w:type="paragraph" w:customStyle="1" w:styleId="Z-EditionNumber">
    <w:name w:val="Z-Edition Number"/>
    <w:basedOn w:val="Z-StudyCode"/>
    <w:rsid w:val="006D75A3"/>
  </w:style>
  <w:style w:type="paragraph" w:customStyle="1" w:styleId="A-Heading1">
    <w:name w:val="A-Heading 1"/>
    <w:next w:val="Normal"/>
    <w:rsid w:val="006D75A3"/>
    <w:pPr>
      <w:keepNext/>
      <w:spacing w:before="480" w:after="240" w:line="240" w:lineRule="auto"/>
      <w:outlineLvl w:val="0"/>
    </w:pPr>
    <w:rPr>
      <w:rFonts w:ascii="Times New Roman" w:eastAsia="Times New Roman" w:hAnsi="Times New Roman" w:cs="Times New Roman"/>
      <w:b/>
      <w:caps/>
      <w:sz w:val="28"/>
      <w:szCs w:val="20"/>
      <w:lang w:val="en-GB"/>
    </w:rPr>
  </w:style>
  <w:style w:type="paragraph" w:customStyle="1" w:styleId="A-Heading2">
    <w:name w:val="A-Heading 2"/>
    <w:next w:val="Normal"/>
    <w:rsid w:val="006D75A3"/>
    <w:pPr>
      <w:keepNext/>
      <w:spacing w:before="120" w:after="120" w:line="240" w:lineRule="auto"/>
      <w:outlineLvl w:val="1"/>
    </w:pPr>
    <w:rPr>
      <w:rFonts w:ascii="Times New Roman" w:eastAsia="Times New Roman" w:hAnsi="Times New Roman" w:cs="Times New Roman"/>
      <w:b/>
      <w:sz w:val="28"/>
      <w:szCs w:val="20"/>
      <w:lang w:val="en-GB"/>
    </w:rPr>
  </w:style>
  <w:style w:type="paragraph" w:customStyle="1" w:styleId="A-Heading3">
    <w:name w:val="A-Heading 3"/>
    <w:next w:val="Normal"/>
    <w:rsid w:val="006D75A3"/>
    <w:pPr>
      <w:keepNext/>
      <w:spacing w:after="120" w:line="240" w:lineRule="auto"/>
      <w:outlineLvl w:val="2"/>
    </w:pPr>
    <w:rPr>
      <w:rFonts w:ascii="Times New Roman" w:eastAsia="Times New Roman" w:hAnsi="Times New Roman" w:cs="Times New Roman"/>
      <w:b/>
      <w:sz w:val="24"/>
      <w:szCs w:val="20"/>
      <w:lang w:val="en-GB"/>
    </w:rPr>
  </w:style>
  <w:style w:type="paragraph" w:customStyle="1" w:styleId="A-Heading4">
    <w:name w:val="A-Heading 4"/>
    <w:next w:val="Normal"/>
    <w:rsid w:val="006D75A3"/>
    <w:pPr>
      <w:keepNext/>
      <w:spacing w:after="120" w:line="240" w:lineRule="auto"/>
      <w:outlineLvl w:val="3"/>
    </w:pPr>
    <w:rPr>
      <w:rFonts w:ascii="Times New Roman" w:eastAsia="Times New Roman" w:hAnsi="Times New Roman" w:cs="Times New Roman"/>
      <w:b/>
      <w:i/>
      <w:sz w:val="24"/>
      <w:szCs w:val="20"/>
      <w:lang w:val="en-GB"/>
    </w:rPr>
  </w:style>
  <w:style w:type="paragraph" w:customStyle="1" w:styleId="Z-DrugSubstance">
    <w:name w:val="Z-DrugSubstance"/>
    <w:basedOn w:val="Normal"/>
    <w:rsid w:val="006D75A3"/>
    <w:pPr>
      <w:spacing w:after="0" w:line="240" w:lineRule="auto"/>
    </w:pPr>
    <w:rPr>
      <w:szCs w:val="24"/>
    </w:rPr>
  </w:style>
  <w:style w:type="paragraph" w:customStyle="1" w:styleId="Z-Date">
    <w:name w:val="Z-Date"/>
    <w:basedOn w:val="Normal"/>
    <w:rsid w:val="006D75A3"/>
    <w:pPr>
      <w:spacing w:after="0" w:line="240" w:lineRule="auto"/>
    </w:pPr>
    <w:rPr>
      <w:szCs w:val="24"/>
    </w:rPr>
  </w:style>
  <w:style w:type="character" w:styleId="Hyperlink">
    <w:name w:val="Hyperlink"/>
    <w:semiHidden/>
    <w:rsid w:val="006D75A3"/>
    <w:rPr>
      <w:color w:val="0000FF"/>
      <w:u w:val="single"/>
    </w:rPr>
  </w:style>
  <w:style w:type="character" w:styleId="FollowedHyperlink">
    <w:name w:val="FollowedHyperlink"/>
    <w:semiHidden/>
    <w:rsid w:val="006D75A3"/>
    <w:rPr>
      <w:color w:val="800080"/>
      <w:u w:val="single"/>
    </w:rPr>
  </w:style>
  <w:style w:type="paragraph" w:customStyle="1" w:styleId="Z-EditionNo">
    <w:name w:val="Z-EditionNo"/>
    <w:basedOn w:val="A-Single"/>
    <w:rsid w:val="006D75A3"/>
  </w:style>
  <w:style w:type="paragraph" w:customStyle="1" w:styleId="Z-SOPNo">
    <w:name w:val="Z-SOPNo"/>
    <w:basedOn w:val="A-Single"/>
    <w:rsid w:val="006D75A3"/>
  </w:style>
  <w:style w:type="paragraph" w:customStyle="1" w:styleId="Z-VersionNo">
    <w:name w:val="Z-VersionNo"/>
    <w:basedOn w:val="Normal"/>
    <w:rsid w:val="006D75A3"/>
    <w:pPr>
      <w:spacing w:after="0" w:line="240" w:lineRule="auto"/>
    </w:pPr>
    <w:rPr>
      <w:szCs w:val="24"/>
    </w:rPr>
  </w:style>
  <w:style w:type="paragraph" w:customStyle="1" w:styleId="z-documentname1">
    <w:name w:val="z-document name1"/>
    <w:basedOn w:val="A-GuidedBold"/>
    <w:rsid w:val="006D75A3"/>
  </w:style>
  <w:style w:type="paragraph" w:customStyle="1" w:styleId="z-documentname">
    <w:name w:val="z-document name"/>
    <w:basedOn w:val="z-documentname1"/>
    <w:rsid w:val="006D75A3"/>
    <w:rPr>
      <w:lang w:val="en-US"/>
    </w:rPr>
  </w:style>
  <w:style w:type="paragraph" w:styleId="BodyText">
    <w:name w:val="Body Text"/>
    <w:basedOn w:val="Normal"/>
    <w:link w:val="BodyTextChar"/>
    <w:semiHidden/>
    <w:rsid w:val="006D75A3"/>
    <w:rPr>
      <w:i/>
      <w:iCs/>
      <w:color w:val="0000FF"/>
      <w:lang w:val="en-US"/>
    </w:rPr>
  </w:style>
  <w:style w:type="character" w:customStyle="1" w:styleId="BodyTextChar">
    <w:name w:val="Body Text Char"/>
    <w:basedOn w:val="DefaultParagraphFont"/>
    <w:link w:val="BodyText"/>
    <w:semiHidden/>
    <w:rsid w:val="006D75A3"/>
    <w:rPr>
      <w:rFonts w:ascii="Times New Roman" w:eastAsia="Times New Roman" w:hAnsi="Times New Roman" w:cs="Times New Roman"/>
      <w:i/>
      <w:iCs/>
      <w:color w:val="0000FF"/>
      <w:sz w:val="24"/>
      <w:szCs w:val="20"/>
    </w:rPr>
  </w:style>
  <w:style w:type="paragraph" w:customStyle="1" w:styleId="AI-Header">
    <w:name w:val="AI-Header"/>
    <w:next w:val="Normal"/>
    <w:rsid w:val="006D75A3"/>
    <w:pPr>
      <w:spacing w:after="120" w:line="240" w:lineRule="auto"/>
    </w:pPr>
    <w:rPr>
      <w:rFonts w:ascii="Times New Roman" w:eastAsia="Times New Roman" w:hAnsi="Times New Roman" w:cs="Times New Roman"/>
      <w:b/>
      <w:szCs w:val="20"/>
      <w:lang w:val="en-GB"/>
    </w:rPr>
  </w:style>
  <w:style w:type="paragraph" w:customStyle="1" w:styleId="AI-ListBullet">
    <w:name w:val="AI-List Bullet"/>
    <w:rsid w:val="006D75A3"/>
    <w:pPr>
      <w:numPr>
        <w:numId w:val="11"/>
      </w:numPr>
      <w:spacing w:after="120" w:line="220" w:lineRule="atLeast"/>
    </w:pPr>
    <w:rPr>
      <w:rFonts w:ascii="Times New Roman" w:eastAsia="Times New Roman" w:hAnsi="Times New Roman" w:cs="Times New Roman"/>
      <w:szCs w:val="20"/>
      <w:lang w:val="en-GB"/>
    </w:rPr>
  </w:style>
  <w:style w:type="paragraph" w:customStyle="1" w:styleId="AI-ListNumber">
    <w:name w:val="AI-List Number"/>
    <w:rsid w:val="006D75A3"/>
    <w:pPr>
      <w:numPr>
        <w:numId w:val="10"/>
      </w:numPr>
      <w:tabs>
        <w:tab w:val="left" w:pos="709"/>
      </w:tabs>
      <w:spacing w:after="120" w:line="220" w:lineRule="atLeast"/>
      <w:ind w:left="709" w:hanging="709"/>
    </w:pPr>
    <w:rPr>
      <w:rFonts w:ascii="Times New Roman" w:eastAsia="Times New Roman" w:hAnsi="Times New Roman" w:cs="Times New Roman"/>
      <w:szCs w:val="20"/>
      <w:lang w:val="en-GB"/>
    </w:rPr>
  </w:style>
  <w:style w:type="paragraph" w:customStyle="1" w:styleId="AI-ListSubsidiary">
    <w:name w:val="AI-List Subsidiary"/>
    <w:rsid w:val="006D75A3"/>
    <w:pPr>
      <w:numPr>
        <w:numId w:val="12"/>
      </w:numPr>
      <w:spacing w:after="120" w:line="220" w:lineRule="atLeast"/>
    </w:pPr>
    <w:rPr>
      <w:rFonts w:ascii="Times New Roman" w:eastAsia="Times New Roman" w:hAnsi="Times New Roman" w:cs="Times New Roman"/>
      <w:szCs w:val="20"/>
      <w:lang w:val="en-GB"/>
    </w:rPr>
  </w:style>
  <w:style w:type="paragraph" w:customStyle="1" w:styleId="AI-Normal">
    <w:name w:val="AI-Normal"/>
    <w:rsid w:val="006D75A3"/>
    <w:pPr>
      <w:spacing w:after="120" w:line="220" w:lineRule="atLeast"/>
    </w:pPr>
    <w:rPr>
      <w:rFonts w:ascii="Times New Roman" w:eastAsia="Times New Roman" w:hAnsi="Times New Roman" w:cs="Times New Roman"/>
      <w:szCs w:val="20"/>
      <w:lang w:val="en-GB"/>
    </w:rPr>
  </w:style>
  <w:style w:type="paragraph" w:customStyle="1" w:styleId="AI-NormalIndent">
    <w:name w:val="AI-Normal Indent"/>
    <w:rsid w:val="006D75A3"/>
    <w:pPr>
      <w:spacing w:after="120" w:line="220" w:lineRule="atLeast"/>
      <w:ind w:left="709"/>
    </w:pPr>
    <w:rPr>
      <w:rFonts w:ascii="Times New Roman" w:eastAsia="Times New Roman" w:hAnsi="Times New Roman" w:cs="Times New Roman"/>
      <w:szCs w:val="20"/>
      <w:lang w:val="en-GB"/>
    </w:rPr>
  </w:style>
  <w:style w:type="paragraph" w:customStyle="1" w:styleId="AINormal">
    <w:name w:val="AI Normal"/>
    <w:basedOn w:val="Normal"/>
    <w:rsid w:val="006D75A3"/>
    <w:pPr>
      <w:spacing w:after="120" w:line="220" w:lineRule="atLeast"/>
    </w:pPr>
    <w:rPr>
      <w:sz w:val="22"/>
    </w:rPr>
  </w:style>
  <w:style w:type="character" w:styleId="LineNumber">
    <w:name w:val="line number"/>
    <w:basedOn w:val="DefaultParagraphFont"/>
    <w:uiPriority w:val="99"/>
    <w:semiHidden/>
    <w:unhideWhenUsed/>
    <w:rsid w:val="006D75A3"/>
  </w:style>
  <w:style w:type="paragraph" w:styleId="NormalWeb">
    <w:name w:val="Normal (Web)"/>
    <w:basedOn w:val="Normal"/>
    <w:uiPriority w:val="99"/>
    <w:unhideWhenUsed/>
    <w:rsid w:val="006D75A3"/>
    <w:pPr>
      <w:spacing w:before="100" w:beforeAutospacing="1" w:after="100" w:afterAutospacing="1" w:line="240" w:lineRule="auto"/>
    </w:pPr>
    <w:rPr>
      <w:szCs w:val="24"/>
      <w:lang w:val="en-ZA" w:eastAsia="en-ZA"/>
    </w:rPr>
  </w:style>
  <w:style w:type="paragraph" w:styleId="BalloonText">
    <w:name w:val="Balloon Text"/>
    <w:basedOn w:val="Normal"/>
    <w:link w:val="BalloonTextChar"/>
    <w:uiPriority w:val="99"/>
    <w:semiHidden/>
    <w:unhideWhenUsed/>
    <w:rsid w:val="006D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5A3"/>
    <w:rPr>
      <w:rFonts w:ascii="Segoe UI" w:eastAsia="Times New Roman" w:hAnsi="Segoe UI" w:cs="Segoe UI"/>
      <w:sz w:val="18"/>
      <w:szCs w:val="18"/>
      <w:lang w:val="en-GB"/>
    </w:rPr>
  </w:style>
  <w:style w:type="paragraph" w:styleId="ListParagraph">
    <w:name w:val="List Paragraph"/>
    <w:basedOn w:val="Normal"/>
    <w:uiPriority w:val="34"/>
    <w:qFormat/>
    <w:rsid w:val="006D75A3"/>
    <w:pPr>
      <w:ind w:left="720"/>
      <w:contextualSpacing/>
    </w:pPr>
  </w:style>
  <w:style w:type="paragraph" w:customStyle="1" w:styleId="EndNoteBibliography">
    <w:name w:val="EndNote Bibliography"/>
    <w:basedOn w:val="Normal"/>
    <w:link w:val="EndNoteBibliographyChar"/>
    <w:rsid w:val="006D75A3"/>
    <w:pPr>
      <w:spacing w:after="160" w:line="240" w:lineRule="auto"/>
    </w:pPr>
    <w:rPr>
      <w:rFonts w:ascii="Calibri" w:eastAsia="Calibri" w:hAnsi="Calibri" w:cs="Calibri"/>
      <w:noProof/>
      <w:sz w:val="22"/>
      <w:szCs w:val="22"/>
      <w:lang w:val="en-US"/>
    </w:rPr>
  </w:style>
  <w:style w:type="character" w:customStyle="1" w:styleId="EndNoteBibliographyChar">
    <w:name w:val="EndNote Bibliography Char"/>
    <w:link w:val="EndNoteBibliography"/>
    <w:rsid w:val="006D75A3"/>
    <w:rPr>
      <w:rFonts w:ascii="Calibri" w:eastAsia="Calibri" w:hAnsi="Calibri" w:cs="Calibri"/>
      <w:noProof/>
    </w:rPr>
  </w:style>
  <w:style w:type="paragraph" w:customStyle="1" w:styleId="DapaBiblioListing">
    <w:name w:val="Dapa Biblio Listing"/>
    <w:basedOn w:val="ListParagraph"/>
    <w:link w:val="DapaBiblioListingChar"/>
    <w:qFormat/>
    <w:rsid w:val="006D75A3"/>
    <w:pPr>
      <w:numPr>
        <w:numId w:val="19"/>
      </w:numPr>
      <w:tabs>
        <w:tab w:val="left" w:pos="2250"/>
      </w:tabs>
      <w:spacing w:before="240" w:after="0" w:line="240" w:lineRule="auto"/>
      <w:contextualSpacing w:val="0"/>
    </w:pPr>
    <w:rPr>
      <w:rFonts w:ascii="Arial" w:eastAsia="Univers-CondensedLight" w:hAnsi="Arial" w:cs="Arial"/>
      <w:color w:val="000000"/>
      <w:sz w:val="22"/>
      <w:szCs w:val="24"/>
      <w:lang w:val="fr-FR"/>
    </w:rPr>
  </w:style>
  <w:style w:type="character" w:customStyle="1" w:styleId="DapaBiblioListingChar">
    <w:name w:val="Dapa Biblio Listing Char"/>
    <w:link w:val="DapaBiblioListing"/>
    <w:rsid w:val="006D75A3"/>
    <w:rPr>
      <w:rFonts w:ascii="Arial" w:eastAsia="Univers-CondensedLight" w:hAnsi="Arial" w:cs="Arial"/>
      <w:color w:val="00000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pringernature.com\London\Pharma\Clients\AstraZeneca-DAPA\LIVE%20Projects\Ad%20Hoc%20Projects\ASZGBDP102348_DAPA%20bibliography%20and%20email\April\Lancet%20Diabetes%20&amp;%20Endocrinology.%202019;8:27-35.%20Doi&#160;:%20https:\doi.org\10.1016\S2213-8587(19)30384-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s://www.ncbi.nlm.nih.gov/pubmed/287810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ncbi.nlm.nih.gov/pubmed/28771923" TargetMode="External"/><Relationship Id="rId5" Type="http://schemas.openxmlformats.org/officeDocument/2006/relationships/header" Target="header1.xml"/><Relationship Id="rId15" Type="http://schemas.openxmlformats.org/officeDocument/2006/relationships/footer" Target="footer3.xml"/><Relationship Id="rId10" Type="http://schemas.openxmlformats.org/officeDocument/2006/relationships/hyperlink" Target="https://www.ncbi.nlm.nih.gov/pubmed/?term=10.1016%2Fj.jacc.2018.03.009" TargetMode="External"/><Relationship Id="rId4" Type="http://schemas.openxmlformats.org/officeDocument/2006/relationships/webSettings" Target="webSettings.xml"/><Relationship Id="rId9" Type="http://schemas.openxmlformats.org/officeDocument/2006/relationships/hyperlink" Target="https://www.ncbi.nlm.nih.gov/pubmed/?term=Rates+of+myocardial+infarction+and+stroke+in+patients+initiating+treatment+with+SGLT2-inhibitors+versus+other+glucose-lowering+agents+in+real-world+clinical+practice%3A+Results+from+the+CVD-REAL+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Wittbrodt, Eric</dc:creator>
  <cp:keywords/>
  <dc:description/>
  <cp:lastModifiedBy>Wittbrodt, Eric</cp:lastModifiedBy>
  <cp:revision>2</cp:revision>
  <dcterms:created xsi:type="dcterms:W3CDTF">2020-12-17T13:19:00Z</dcterms:created>
  <dcterms:modified xsi:type="dcterms:W3CDTF">2020-12-17T13:19:00Z</dcterms:modified>
</cp:coreProperties>
</file>